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32B" w:rsidRDefault="0001332B"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bookmarkStart w:id="0" w:name="_GoBack"/>
      <w:bookmarkEnd w:id="0"/>
      <w:r w:rsidRPr="005143B6">
        <w:rPr>
          <w:rFonts w:ascii="Arial" w:eastAsia="Times New Roman" w:hAnsi="Arial" w:cs="Arial"/>
          <w:bCs/>
          <w:color w:val="000000"/>
          <w:sz w:val="18"/>
          <w:szCs w:val="18"/>
          <w:lang w:eastAsia="es-PE"/>
        </w:rPr>
        <w:t>CAPÍTULO I</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LAVADO O BLANQUEO DE DINERO</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Una de las preocupaciones más importantes para los estados, se encuentra situada en el conocimiento que se tenga sobre el origen del dinero. La diferencia sustancial radica en que los delitos previos pueden ser juzgados como graves o no.</w:t>
      </w:r>
    </w:p>
    <w:p w:rsid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Cuando el blanqueo de dinero es producto del narcotráfico o de delitos graves es un crimen internacional, mientras que el blanqueo de dinero producto de evasión o elusión fiscal es un delito menor, circunscrito al país donde se ha realizado la elusión o la evasión fiscal. A pesar que la evasión fiscal y el blanqueo de dinero sucio tienen ciertas similitudes en cuanto a las técnicas desarrolladas, es conveniente comprender que se trata de dos procesos distintos</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w:t>
      </w:r>
    </w:p>
    <w:p w:rsidR="007A47FE" w:rsidRPr="00FF3CDF" w:rsidRDefault="007A47FE" w:rsidP="007A47FE">
      <w:pPr>
        <w:pStyle w:val="Prrafodelista"/>
        <w:numPr>
          <w:ilvl w:val="0"/>
          <w:numId w:val="1"/>
        </w:numPr>
        <w:spacing w:after="0"/>
        <w:jc w:val="both"/>
        <w:rPr>
          <w:rFonts w:ascii="Arial" w:eastAsia="Times New Roman" w:hAnsi="Arial" w:cs="Arial"/>
          <w:bCs/>
          <w:color w:val="000000"/>
          <w:sz w:val="18"/>
          <w:szCs w:val="18"/>
          <w:lang w:eastAsia="es-PE"/>
        </w:rPr>
      </w:pPr>
      <w:r w:rsidRPr="00FF3CDF">
        <w:rPr>
          <w:rFonts w:ascii="Arial" w:eastAsia="Times New Roman" w:hAnsi="Arial" w:cs="Arial"/>
          <w:bCs/>
          <w:color w:val="000000"/>
          <w:sz w:val="18"/>
          <w:szCs w:val="18"/>
          <w:lang w:eastAsia="es-PE"/>
        </w:rPr>
        <w:t>Antecedentes</w:t>
      </w:r>
    </w:p>
    <w:p w:rsid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Aunque el narcotráfico implica necesariamente una infinidad de facetas que dependen unas de otras, y que van desde lo que producen drogas, pasando por los que trafican hasta llegar a los consumidores, puede decirse que las ganancias que produce este ilícito negocio es el incentivo más importante que motiva a cualquier traficante, aquí es donde se origina el lavado de dinero; por tal motivo es que el narcotráfico está muy relacionado con el lavado de dinero.</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2. Referencias Conceptuales Y Fundamentos</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En realidad no existe una definición propia que esté sustentada en una terminología técnico o jurídica, pero se entiende que el lavado de dinero es el proceso de esconder o disfrazar la existencia, destino o uso ilegal de bienes, producto de actividades ilegales para hacerlos aparentar legítimos.</w:t>
      </w:r>
    </w:p>
    <w:p w:rsid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Cuando un individuo obtiene dinero por medios ilegales o aunque lo consiga por medios legales, no declara este ingreso a las autoridades monetarias correspondientes, está creando lo que se conoce como dinero negro.</w:t>
      </w:r>
    </w:p>
    <w:p w:rsidR="007A47FE" w:rsidRPr="005143B6"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En general, involucra la ubicación de fondos en el sistema financiero, la estructuración de transacciones para disfrazar el origen, propiedad y ubicación de los fondos, y la integración de los fondos en la sociedad en la forma de bienes que tienen la apariencia de legitimidad.</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En toda actividad de blanqueo se habla de dos categorías: Conversión y Movimiento. La conversión tiene lugar cuando los productos cambian de una forma u otra, como cuando se compra un giro o un automóvil con ganancias ilícitas; los productos ilícitos originales han cambiado de forma, de dinero en efectivo a un giro o a un automóvil. Se produce en Movimiento, cuando los mismos productos financieros cambian de localidades, como cuando los fondos son transferidos telegráficamente a otra ciudad o enviados a través del correo</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Ahora bien, el dinero ilegal se blanquea en atención a los problemas contables, tributarios y criminalísticas que para los traficantes de droga, genera el hecho de tener que realizar todas sus operaciones de comercio de sustancias fiscalizadas en dinero efectivo. Las drogas no pueden pagarse a través de títulos valores o tarjetas de crédito que obligarían al traficante a registrar su identidad.</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En consecuencia para que ganancias se realicen o bienes de procedencia ilegal, puedan salir al mercado se requiere realizar diversas operaciones y transacciones que les va otorgando legalidad aparente y formal.</w:t>
      </w:r>
    </w:p>
    <w:p w:rsid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El dinero lavado proveniente del narcotráfico en el Perú, Colombia, México y Bolivia se realiza de coca dólares en dólares o moneda nacional circulante., el lavado de dinero y la exportación de drogas es el primer negocio de exportación.</w:t>
      </w:r>
    </w:p>
    <w:p w:rsidR="007A47FE" w:rsidRPr="005143B6" w:rsidRDefault="007A47FE" w:rsidP="007A47FE">
      <w:pPr>
        <w:spacing w:after="0"/>
        <w:jc w:val="both"/>
        <w:rPr>
          <w:rFonts w:ascii="Arial" w:eastAsia="Times New Roman" w:hAnsi="Arial" w:cs="Arial"/>
          <w:bCs/>
          <w:color w:val="000000"/>
          <w:sz w:val="18"/>
          <w:szCs w:val="18"/>
          <w:lang w:eastAsia="es-PE"/>
        </w:rPr>
      </w:pPr>
    </w:p>
    <w:p w:rsidR="007A47FE" w:rsidRPr="00A46D5E" w:rsidRDefault="007A47FE" w:rsidP="007A47FE">
      <w:pPr>
        <w:spacing w:after="0"/>
        <w:jc w:val="both"/>
        <w:rPr>
          <w:rFonts w:ascii="Arial" w:eastAsia="Times New Roman" w:hAnsi="Arial" w:cs="Arial"/>
          <w:b/>
          <w:bCs/>
          <w:color w:val="000000"/>
          <w:sz w:val="18"/>
          <w:szCs w:val="18"/>
          <w:lang w:eastAsia="es-PE"/>
        </w:rPr>
      </w:pPr>
      <w:r w:rsidRPr="00A46D5E">
        <w:rPr>
          <w:rFonts w:ascii="Arial" w:eastAsia="Times New Roman" w:hAnsi="Arial" w:cs="Arial"/>
          <w:b/>
          <w:bCs/>
          <w:color w:val="000000"/>
          <w:sz w:val="18"/>
          <w:szCs w:val="18"/>
          <w:lang w:eastAsia="es-PE"/>
        </w:rPr>
        <w:t>En el proceso de blanqueo de coca dólares es denominado también como delito de "black Money", ilícito penal en el Perú que estaba</w:t>
      </w:r>
      <w:r w:rsidRPr="005143B6">
        <w:rPr>
          <w:rFonts w:ascii="Arial" w:eastAsia="Times New Roman" w:hAnsi="Arial" w:cs="Arial"/>
          <w:bCs/>
          <w:color w:val="000000"/>
          <w:sz w:val="18"/>
          <w:szCs w:val="18"/>
          <w:lang w:eastAsia="es-PE"/>
        </w:rPr>
        <w:t xml:space="preserve"> </w:t>
      </w:r>
      <w:r w:rsidRPr="00A46D5E">
        <w:rPr>
          <w:rFonts w:ascii="Arial" w:eastAsia="Times New Roman" w:hAnsi="Arial" w:cs="Arial"/>
          <w:b/>
          <w:bCs/>
          <w:color w:val="000000"/>
          <w:sz w:val="18"/>
          <w:szCs w:val="18"/>
          <w:lang w:eastAsia="es-PE"/>
        </w:rPr>
        <w:t>previsto en el artículo 296-B del Código Penal, modificado por la Ley Nº 27765.</w:t>
      </w:r>
    </w:p>
    <w:p w:rsidR="007A47FE" w:rsidRDefault="007A47FE" w:rsidP="007A47FE">
      <w:pPr>
        <w:pStyle w:val="Prrafodelista"/>
        <w:spacing w:after="0"/>
        <w:jc w:val="both"/>
        <w:rPr>
          <w:rFonts w:ascii="Arial" w:eastAsia="Times New Roman" w:hAnsi="Arial" w:cs="Arial"/>
          <w:bCs/>
          <w:color w:val="000000"/>
          <w:sz w:val="18"/>
          <w:szCs w:val="18"/>
          <w:lang w:eastAsia="es-PE"/>
        </w:rPr>
      </w:pPr>
    </w:p>
    <w:p w:rsidR="007A47FE" w:rsidRPr="007A47FE" w:rsidRDefault="007A47FE" w:rsidP="007A47FE">
      <w:pPr>
        <w:pStyle w:val="Prrafodelista"/>
        <w:numPr>
          <w:ilvl w:val="0"/>
          <w:numId w:val="1"/>
        </w:numPr>
        <w:spacing w:after="0"/>
        <w:jc w:val="both"/>
        <w:rPr>
          <w:rFonts w:ascii="Arial" w:eastAsia="Times New Roman" w:hAnsi="Arial" w:cs="Arial"/>
          <w:bCs/>
          <w:color w:val="000000"/>
          <w:sz w:val="18"/>
          <w:szCs w:val="18"/>
          <w:lang w:eastAsia="es-PE"/>
        </w:rPr>
      </w:pPr>
      <w:r w:rsidRPr="007A47FE">
        <w:rPr>
          <w:rFonts w:ascii="Arial" w:eastAsia="Times New Roman" w:hAnsi="Arial" w:cs="Arial"/>
          <w:bCs/>
          <w:color w:val="000000"/>
          <w:sz w:val="18"/>
          <w:szCs w:val="18"/>
          <w:lang w:eastAsia="es-PE"/>
        </w:rPr>
        <w:t>Función y Características</w:t>
      </w:r>
    </w:p>
    <w:p w:rsidR="007A47FE" w:rsidRPr="00614B66" w:rsidRDefault="007A47FE" w:rsidP="007A47FE">
      <w:pPr>
        <w:pStyle w:val="Prrafodelista"/>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La función del lavado de dinero es la de propiciar e implementar mecanismos económicos o financieros que permitan que los ingresos provenientes de una actividad ilegal, como lo es el narcotráfico; donde serán absorbidos por los movimientos de intermediación financiera o de contabilidad general por el Producto Nacional Bruto. Las ganancias de la droga pasan a ser exponentes de capital legítimo, cotizable y debidamente registrado.</w:t>
      </w:r>
    </w:p>
    <w:p w:rsid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Lo que identifica de manera especial a estas operaciones de sustitución y legalización de bienes y capitales; se relaciona con dos aspectos:</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3.1. Al Modus Operandi:</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Lo emplea el agente; son los actos que lo materializan, se ejecutan observando siempre todas las formalidades y procedimientos usuales y regularmente exigidos por cualquier negocio jurídico o financiero.</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3.2. Entre el Agente de Lavado y el Origen Ilegal del Dinero:</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lastRenderedPageBreak/>
        <w:t>El agente no debe estar directa ni indirectamente vinculado con la ejecución de los delitos de tráfico ilícito de drogas que propiciaron el capital ilegal.</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FORMAS Y ETAPAS DE LAVADO</w:t>
      </w:r>
    </w:p>
    <w:p w:rsid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Fue preparado por FINCEN (Financial Crimes Enforcement Network) Entre algunas de las FORMAS más comunes para el lavado de dinero se incluyen las siguientes:</w:t>
      </w:r>
    </w:p>
    <w:p w:rsidR="00FF3CDF" w:rsidRPr="005143B6" w:rsidRDefault="00FF3CDF" w:rsidP="007A47FE">
      <w:pPr>
        <w:spacing w:after="0"/>
        <w:jc w:val="both"/>
        <w:rPr>
          <w:rFonts w:ascii="Arial" w:eastAsia="Times New Roman" w:hAnsi="Arial" w:cs="Arial"/>
          <w:bCs/>
          <w:color w:val="000000"/>
          <w:sz w:val="18"/>
          <w:szCs w:val="18"/>
          <w:lang w:eastAsia="es-PE"/>
        </w:rPr>
      </w:pPr>
    </w:p>
    <w:p w:rsidR="007A47FE" w:rsidRPr="00FF3CDF" w:rsidRDefault="007A47FE" w:rsidP="00FF3CDF">
      <w:pPr>
        <w:pStyle w:val="Prrafodelista"/>
        <w:numPr>
          <w:ilvl w:val="0"/>
          <w:numId w:val="5"/>
        </w:numPr>
        <w:spacing w:after="0"/>
        <w:rPr>
          <w:rFonts w:ascii="Arial" w:eastAsia="Times New Roman" w:hAnsi="Arial" w:cs="Arial"/>
          <w:bCs/>
          <w:color w:val="000000"/>
          <w:sz w:val="18"/>
          <w:szCs w:val="18"/>
          <w:lang w:eastAsia="es-PE"/>
        </w:rPr>
      </w:pPr>
      <w:r w:rsidRPr="00FF3CDF">
        <w:rPr>
          <w:rFonts w:ascii="Arial" w:eastAsia="Times New Roman" w:hAnsi="Arial" w:cs="Arial"/>
          <w:bCs/>
          <w:color w:val="000000"/>
          <w:sz w:val="18"/>
          <w:szCs w:val="18"/>
          <w:lang w:eastAsia="es-PE"/>
        </w:rPr>
        <w:t>Estructurar: Uno o varios individuos hacen múltiples transacciones con fondos ilegales por cierto período de tiempo, en la misma institución o en varias instituciones financieras.</w:t>
      </w:r>
    </w:p>
    <w:p w:rsidR="00FF3CDF" w:rsidRPr="00FF3CDF" w:rsidRDefault="00FF3CDF" w:rsidP="00FF3CDF">
      <w:pPr>
        <w:spacing w:after="0"/>
        <w:ind w:left="36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2. Complicidad de un funcionario u organización: Cuando los empleados de las instituciones financieras o comerciales facilitan el lavado de dinero al aceptar a sabiendas grandes depósitos en efectivo, sin llenar ni presentar los informes de transacciones en efectivo cuando es necesario, llenando ITE falsos, exceptuando incorrectamente a los clientes de llenar los formularios requeridos.</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3. Mezclar: Cuando se combina los productos ilícitos con fondos legítimos de una empresa, y después presenta la cantidad total como renta de la actividad legítima de tal empresa.</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4. Compañías de fachada: La compañía de fachada puede ser una empresa legítima que mezcla los fondos ilícitos con sus propias rentas. Puede estar ubicada físicamente en una oficina o a veces puede tener únicamente un frente comercial.</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5. Compras de bienes o instrumentos monetarios en efectivo: El lavado de dinero compra bienes tangibles (automóviles, propiedades, etc.) o instrumentos monetarios (giros bancarios y postales, cheques de gerencia o de viajero, y valores), con el efectivo originado de la actividad criminal.</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6. Contrabando de efectivo: Involucra el transporte físico del efectivo; puede estar escondido en el equipaje, o ser llevado por la persona que actúa de correo. A pesar de las limitaciones, los lavadores de dinero han demostrado un alto grado de imaginación al encontrar nuevos medios para mover el producto criminal en efectivo.</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7. Transferencias telegráficas o electrónicas: Es la más usada para estratificar fondos ilícitos; en términos del volumen de dinero que puede moverse, y por la frecuencia de las transferencias. Ya que les permite enviar fondos a su destino rápidamente, y el monto de la transferencia normalmente no está restringido.</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8. Ventas fraudulentas de bienes inmuebles: El lavador compra una propiedad con el producto ilícito por un precio declarado significativamente mucho menor que el valor real.</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9. La formación de compañías de portafolio o nominales (Shell company): Es una entidad que generalmente existe solamente en el papel; no participa en el comercio (a diferencia de una compañía de fachada).</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El proceso de lavado de dinero pasa por ciertas ETAPAS:</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A</w:t>
      </w:r>
      <w:r w:rsidRPr="005143B6">
        <w:rPr>
          <w:rFonts w:ascii="Arial" w:eastAsia="Times New Roman" w:hAnsi="Arial" w:cs="Arial"/>
          <w:bCs/>
          <w:color w:val="000000"/>
          <w:sz w:val="18"/>
          <w:szCs w:val="18"/>
          <w:lang w:eastAsia="es-PE"/>
        </w:rPr>
        <w:t>. Colocación:</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Es el estudio previo del sistema financiero que debe hacer el agente del lavado, a fin de distinguir las agencias de intermediación financiera que resultan más flexibles al control de las operaciones que realizan sus clientes. Para, luego depositar en aquellas el dinero sucio y obtener instrumentos de pago como chequeras, etc.</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B</w:t>
      </w:r>
      <w:r w:rsidRPr="005143B6">
        <w:rPr>
          <w:rFonts w:ascii="Arial" w:eastAsia="Times New Roman" w:hAnsi="Arial" w:cs="Arial"/>
          <w:bCs/>
          <w:color w:val="000000"/>
          <w:sz w:val="18"/>
          <w:szCs w:val="18"/>
          <w:lang w:eastAsia="es-PE"/>
        </w:rPr>
        <w:t>. Intercalación:</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El agente del lavado intercala sucesivas operaciones financieras o comerciales utilizando los instrumentos de pago que recibió del sistema financiero en la etapa anterior de colocación. Con ellos la mayoría de veces, el agente va a adquirir inmuebles, vehículos, etc. Y luego estos bienes van a ser revendidos a terceros incluso por debajo de su precio, pero con una particular exigencia, que no sean pagados en dinero en efectivo, sino a través de cheques o mediante permuta con acciones u otro tipo de bienes.</w:t>
      </w:r>
      <w:r w:rsidRPr="005143B6">
        <w:rPr>
          <w:rFonts w:ascii="Arial" w:eastAsia="Times New Roman" w:hAnsi="Arial" w:cs="Arial"/>
          <w:bCs/>
          <w:color w:val="000000"/>
          <w:sz w:val="18"/>
          <w:szCs w:val="18"/>
          <w:lang w:eastAsia="es-PE"/>
        </w:rPr>
        <w:cr/>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C</w:t>
      </w:r>
      <w:r w:rsidRPr="005143B6">
        <w:rPr>
          <w:rFonts w:ascii="Arial" w:eastAsia="Times New Roman" w:hAnsi="Arial" w:cs="Arial"/>
          <w:bCs/>
          <w:color w:val="000000"/>
          <w:sz w:val="18"/>
          <w:szCs w:val="18"/>
          <w:lang w:eastAsia="es-PE"/>
        </w:rPr>
        <w:t>. Integración:</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Finalmente, concluye el ciclo del lavado con esta etapa. Se realiza la inserción del dinero ya "lavado" por las etapas precedentes, en nuevas entidades financieras o su repatriación del extranjero.</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Seguidamente, ser invertido en empresas legítimas, reales o simuladas, pero que están dotadas de sus correspondientes registros contables y tributarios, lo cual hará que el capital originariamente ilegal pueda expresar ahora una legitimidad ostensible y verificable frente a cualquier medio o procedimiento de control contable o tributario convencionales.</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lastRenderedPageBreak/>
        <w:t>Pero en el proceso de blanqueo, el lavado de dinero utiliza mucho los INSTRUMENTOS financieros que también son usados por las empresas comerciales legítimas. Los siguientes elementos son algunos de los instrumentos para el lavado de dinero más frecuentemente usados:</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1. Dinero en circulación: El dinero en circulación, o efectivo, es el medio común de intercambio en la transacción criminal original (como por ejemplo, venta de narcóticos, etc.). El dinero en circulación es el componente básico que el lavador procesa para su cliente. El lavador se enfrenta con la elección básica de intentar colocar el dinero dentro del sistema financiero sin ser detectado por las autoridades o contrabandear el dinero fuera del país.</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2. Cheques de gerencia: Un cheque de gerencia es un cheque que el banco libra contra sí mismo. Es relativamente fácil de conseguir y poco costoso y se lo considera tan bueno como dinero en efectivo. Muchos lavadores de dinero adquieren cheques de gerencia con productos ilegales en efectivo, como uno de los primeros pasos de un esquema de lavado de dinero.</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2.1. Cheques personales: Son cheques librados contra una cuenta individual o de una entidad de comercio. Estos instrumentos son fáciles de obtener y baratos. En algunos esquemas, el dinero está estructurado en cuentas bancarias personales mantenidas bajo nombres ficticios.</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El lavado de dinero controla las chequeras y envía cheques endosados y completos como medio de transferir dinero. A menudo los cheques muestran sólo un nombre y ninguna otra identificación personal.</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2.2. Giros: Un giro es emitido por bancos o por operadores de compañías que emiten giros. Generalmente son utilizados por individuos que no tienen una cuenta corriente, para pagar cuentas o enviar dinero a otra localidad. Como generalmente no se pide a los compradores que se identifiquen (a través de números de cuentas o documentos de identificación).</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También tenemos los Giros bancarios; que son cheques librados por un banco contra sus propios fondos, los cuales están depositados en otro banco con el cual mantiene relación de corresponsalía. Uno de los giros bancarios más usados en el lavado de dinero es el giro bancario del extranjero.</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Los giros bancarios permiten a un comerciante legítimo (o a un lavado de dinero) mover fondos de un país a otro. El lavador puede transportar el giro de un banco peruano a otro país donde la procedencia original de los fondos no será aparente.</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Se estima que a fines del 2004 había 5.000 bancos offshore en unas 60 jurisdicciones, con activos estimados en 10 billones de dólares, como se muestra en el siguiente cuadro estadístico.</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Presento algunos ejemplos de bancos, que son el paraíso para aquellos que lavan dinero.</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1. Las Islas Caimán: Posee un territorio de 35 por 20 Km. y cuenta con 35000 habitantes, están instalados y operando 584 bancos y 2200 fondos especulativos y fondos de pensión. Manejan entre 500 y 200 billones de US$, o sea 3 veces más que el presupuesto de un país como Francia. Es la quinta plaza financiera del mundo. 40000 sociedades pantallas están matriculadas ahí.</w:t>
      </w:r>
    </w:p>
    <w:p w:rsidR="007A47FE" w:rsidRPr="005143B6" w:rsidRDefault="007A47FE" w:rsidP="007A47FE">
      <w:pPr>
        <w:spacing w:after="0"/>
        <w:jc w:val="both"/>
        <w:rPr>
          <w:rFonts w:ascii="Arial" w:eastAsia="Times New Roman" w:hAnsi="Arial" w:cs="Arial"/>
          <w:bCs/>
          <w:color w:val="000000"/>
          <w:sz w:val="18"/>
          <w:szCs w:val="18"/>
          <w:lang w:val="en-US" w:eastAsia="es-PE"/>
        </w:rPr>
      </w:pPr>
      <w:r w:rsidRPr="005143B6">
        <w:rPr>
          <w:rFonts w:ascii="Arial" w:eastAsia="Times New Roman" w:hAnsi="Arial" w:cs="Arial"/>
          <w:bCs/>
          <w:color w:val="000000"/>
          <w:sz w:val="18"/>
          <w:szCs w:val="18"/>
          <w:lang w:val="en-US" w:eastAsia="es-PE"/>
        </w:rPr>
        <w:t>2. Islas Bahamas: De 350</w:t>
      </w:r>
      <w:r w:rsidRPr="00987B06">
        <w:rPr>
          <w:rFonts w:ascii="Arial" w:eastAsia="Times New Roman" w:hAnsi="Arial" w:cs="Arial"/>
          <w:bCs/>
          <w:color w:val="000000"/>
          <w:sz w:val="18"/>
          <w:szCs w:val="18"/>
          <w:lang w:eastAsia="es-PE"/>
        </w:rPr>
        <w:t xml:space="preserve"> bancos</w:t>
      </w:r>
      <w:r w:rsidRPr="005143B6">
        <w:rPr>
          <w:rFonts w:ascii="Arial" w:eastAsia="Times New Roman" w:hAnsi="Arial" w:cs="Arial"/>
          <w:bCs/>
          <w:color w:val="000000"/>
          <w:sz w:val="18"/>
          <w:szCs w:val="18"/>
          <w:lang w:val="en-US" w:eastAsia="es-PE"/>
        </w:rPr>
        <w:t xml:space="preserve"> offshore, 58000 IBC (International business corporations).</w:t>
      </w: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3. Islas Bermudas: 37 trust, 10000 IBC.</w:t>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4</w:t>
      </w:r>
      <w:r w:rsidRPr="005143B6">
        <w:rPr>
          <w:rFonts w:ascii="Arial" w:eastAsia="Times New Roman" w:hAnsi="Arial" w:cs="Arial"/>
          <w:bCs/>
          <w:color w:val="000000"/>
          <w:sz w:val="18"/>
          <w:szCs w:val="18"/>
          <w:lang w:eastAsia="es-PE"/>
        </w:rPr>
        <w:t>.</w:t>
      </w:r>
      <w:r w:rsidRPr="005143B6">
        <w:rPr>
          <w:rFonts w:ascii="Arial" w:eastAsia="Times New Roman" w:hAnsi="Arial" w:cs="Arial"/>
          <w:bCs/>
          <w:color w:val="000000"/>
          <w:sz w:val="18"/>
          <w:szCs w:val="18"/>
          <w:lang w:eastAsia="es-PE"/>
        </w:rPr>
        <w:tab/>
        <w:t>Barbados: 40 bancos, 360 compañías de seguros, 3800 IBC+FSC.</w:t>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5</w:t>
      </w:r>
      <w:r w:rsidRPr="005143B6">
        <w:rPr>
          <w:rFonts w:ascii="Arial" w:eastAsia="Times New Roman" w:hAnsi="Arial" w:cs="Arial"/>
          <w:bCs/>
          <w:color w:val="000000"/>
          <w:sz w:val="18"/>
          <w:szCs w:val="18"/>
          <w:lang w:eastAsia="es-PE"/>
        </w:rPr>
        <w:t>.</w:t>
      </w:r>
      <w:r w:rsidRPr="005143B6">
        <w:rPr>
          <w:rFonts w:ascii="Arial" w:eastAsia="Times New Roman" w:hAnsi="Arial" w:cs="Arial"/>
          <w:bCs/>
          <w:color w:val="000000"/>
          <w:sz w:val="18"/>
          <w:szCs w:val="18"/>
          <w:lang w:eastAsia="es-PE"/>
        </w:rPr>
        <w:tab/>
        <w:t>Araba: 15 bancos, 3000 IBC.</w:t>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6</w:t>
      </w:r>
      <w:r w:rsidRPr="005143B6">
        <w:rPr>
          <w:rFonts w:ascii="Arial" w:eastAsia="Times New Roman" w:hAnsi="Arial" w:cs="Arial"/>
          <w:bCs/>
          <w:color w:val="000000"/>
          <w:sz w:val="18"/>
          <w:szCs w:val="18"/>
          <w:lang w:eastAsia="es-PE"/>
        </w:rPr>
        <w:t>.</w:t>
      </w:r>
      <w:r w:rsidRPr="005143B6">
        <w:rPr>
          <w:rFonts w:ascii="Arial" w:eastAsia="Times New Roman" w:hAnsi="Arial" w:cs="Arial"/>
          <w:bCs/>
          <w:color w:val="000000"/>
          <w:sz w:val="18"/>
          <w:szCs w:val="18"/>
          <w:lang w:eastAsia="es-PE"/>
        </w:rPr>
        <w:tab/>
        <w:t>Belice: 11000 IBC.</w:t>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7</w:t>
      </w:r>
      <w:r w:rsidRPr="005143B6">
        <w:rPr>
          <w:rFonts w:ascii="Arial" w:eastAsia="Times New Roman" w:hAnsi="Arial" w:cs="Arial"/>
          <w:bCs/>
          <w:color w:val="000000"/>
          <w:sz w:val="18"/>
          <w:szCs w:val="18"/>
          <w:lang w:eastAsia="es-PE"/>
        </w:rPr>
        <w:t>.</w:t>
      </w:r>
      <w:r w:rsidRPr="005143B6">
        <w:rPr>
          <w:rFonts w:ascii="Arial" w:eastAsia="Times New Roman" w:hAnsi="Arial" w:cs="Arial"/>
          <w:bCs/>
          <w:color w:val="000000"/>
          <w:sz w:val="18"/>
          <w:szCs w:val="18"/>
          <w:lang w:eastAsia="es-PE"/>
        </w:rPr>
        <w:tab/>
        <w:t>Islas Vírgenes: 300000 IBC.</w:t>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8</w:t>
      </w:r>
      <w:r w:rsidRPr="005143B6">
        <w:rPr>
          <w:rFonts w:ascii="Arial" w:eastAsia="Times New Roman" w:hAnsi="Arial" w:cs="Arial"/>
          <w:bCs/>
          <w:color w:val="000000"/>
          <w:sz w:val="18"/>
          <w:szCs w:val="18"/>
          <w:lang w:eastAsia="es-PE"/>
        </w:rPr>
        <w:t>.</w:t>
      </w:r>
      <w:r w:rsidRPr="005143B6">
        <w:rPr>
          <w:rFonts w:ascii="Arial" w:eastAsia="Times New Roman" w:hAnsi="Arial" w:cs="Arial"/>
          <w:bCs/>
          <w:color w:val="000000"/>
          <w:sz w:val="18"/>
          <w:szCs w:val="18"/>
          <w:lang w:eastAsia="es-PE"/>
        </w:rPr>
        <w:tab/>
        <w:t>Chipre: 34 bancos, 41000 IBC.</w:t>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9</w:t>
      </w:r>
      <w:r w:rsidRPr="005143B6">
        <w:rPr>
          <w:rFonts w:ascii="Arial" w:eastAsia="Times New Roman" w:hAnsi="Arial" w:cs="Arial"/>
          <w:bCs/>
          <w:color w:val="000000"/>
          <w:sz w:val="18"/>
          <w:szCs w:val="18"/>
          <w:lang w:eastAsia="es-PE"/>
        </w:rPr>
        <w:t>.</w:t>
      </w:r>
      <w:r w:rsidRPr="005143B6">
        <w:rPr>
          <w:rFonts w:ascii="Arial" w:eastAsia="Times New Roman" w:hAnsi="Arial" w:cs="Arial"/>
          <w:bCs/>
          <w:color w:val="000000"/>
          <w:sz w:val="18"/>
          <w:szCs w:val="18"/>
          <w:lang w:eastAsia="es-PE"/>
        </w:rPr>
        <w:tab/>
        <w:t>Liechtenstein: 75000 holdings con.</w:t>
      </w:r>
    </w:p>
    <w:p w:rsidR="007A47FE" w:rsidRPr="005143B6" w:rsidRDefault="007A47FE" w:rsidP="007A47FE">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10</w:t>
      </w:r>
      <w:r w:rsidRPr="005143B6">
        <w:rPr>
          <w:rFonts w:ascii="Arial" w:eastAsia="Times New Roman" w:hAnsi="Arial" w:cs="Arial"/>
          <w:bCs/>
          <w:color w:val="000000"/>
          <w:sz w:val="18"/>
          <w:szCs w:val="18"/>
          <w:lang w:eastAsia="es-PE"/>
        </w:rPr>
        <w:t>.</w:t>
      </w:r>
      <w:r w:rsidRPr="005143B6">
        <w:rPr>
          <w:rFonts w:ascii="Arial" w:eastAsia="Times New Roman" w:hAnsi="Arial" w:cs="Arial"/>
          <w:bCs/>
          <w:color w:val="000000"/>
          <w:sz w:val="18"/>
          <w:szCs w:val="18"/>
          <w:lang w:eastAsia="es-PE"/>
        </w:rPr>
        <w:tab/>
        <w:t>Luxemburgo: 320 establecimientos financieros, 1200 fondos, 10000 holdings. Y más de 53 bancos.</w:t>
      </w:r>
    </w:p>
    <w:p w:rsidR="007A47FE" w:rsidRDefault="007A47FE"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Una sociedad denominada News Corp. (Rupert Murdoch) ahorra 4,8 billones de FF (Franco Francés), equivalentes a la construcción de 300 escuelas primarias, gracias a una sociedad pantalla matriculada en las Islas Bermudas.</w:t>
      </w:r>
    </w:p>
    <w:p w:rsidR="00625F36" w:rsidRDefault="00625F36" w:rsidP="007A47FE">
      <w:pPr>
        <w:spacing w:after="0"/>
        <w:jc w:val="both"/>
        <w:rPr>
          <w:rFonts w:ascii="Arial" w:eastAsia="Times New Roman" w:hAnsi="Arial" w:cs="Arial"/>
          <w:bCs/>
          <w:color w:val="000000"/>
          <w:sz w:val="18"/>
          <w:szCs w:val="18"/>
          <w:lang w:eastAsia="es-PE"/>
        </w:rPr>
      </w:pPr>
    </w:p>
    <w:p w:rsidR="007A47FE" w:rsidRPr="005143B6"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CAPITULO II</w:t>
      </w:r>
    </w:p>
    <w:p w:rsid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LA LEGISLACIÓN PERUANA</w:t>
      </w:r>
    </w:p>
    <w:p w:rsidR="00907761" w:rsidRPr="005143B6" w:rsidRDefault="00907761" w:rsidP="007A47FE">
      <w:pPr>
        <w:spacing w:after="0"/>
        <w:jc w:val="both"/>
        <w:rPr>
          <w:rFonts w:ascii="Arial" w:eastAsia="Times New Roman" w:hAnsi="Arial" w:cs="Arial"/>
          <w:bCs/>
          <w:color w:val="000000"/>
          <w:sz w:val="18"/>
          <w:szCs w:val="18"/>
          <w:lang w:eastAsia="es-PE"/>
        </w:rPr>
      </w:pPr>
    </w:p>
    <w:p w:rsidR="007A47FE" w:rsidRPr="007A47FE" w:rsidRDefault="007A47FE" w:rsidP="007A47FE">
      <w:pPr>
        <w:spacing w:after="0"/>
        <w:jc w:val="both"/>
        <w:rPr>
          <w:rFonts w:ascii="Arial" w:eastAsia="Times New Roman" w:hAnsi="Arial" w:cs="Arial"/>
          <w:bCs/>
          <w:color w:val="000000"/>
          <w:sz w:val="18"/>
          <w:szCs w:val="18"/>
          <w:lang w:eastAsia="es-PE"/>
        </w:rPr>
      </w:pPr>
      <w:r w:rsidRPr="005143B6">
        <w:rPr>
          <w:rFonts w:ascii="Arial" w:eastAsia="Times New Roman" w:hAnsi="Arial" w:cs="Arial"/>
          <w:bCs/>
          <w:color w:val="000000"/>
          <w:sz w:val="18"/>
          <w:szCs w:val="18"/>
          <w:lang w:eastAsia="es-PE"/>
        </w:rPr>
        <w:t xml:space="preserve">Es necesario aclarar que los artículos 296 A y 296°B han sido derogados por la ley Nº 27765, que se dio el 26 de Junio del 2002. </w:t>
      </w:r>
      <w:r>
        <w:rPr>
          <w:rFonts w:ascii="Arial" w:eastAsia="Times New Roman" w:hAnsi="Arial" w:cs="Arial"/>
          <w:bCs/>
          <w:color w:val="000000"/>
          <w:sz w:val="18"/>
          <w:szCs w:val="18"/>
          <w:lang w:eastAsia="es-PE"/>
        </w:rPr>
        <w:t xml:space="preserve"> Bajo esto se crea </w:t>
      </w:r>
      <w:r w:rsidRPr="007A47FE">
        <w:rPr>
          <w:rFonts w:ascii="Arial" w:eastAsia="Times New Roman" w:hAnsi="Arial" w:cs="Arial"/>
          <w:bCs/>
          <w:color w:val="000000"/>
          <w:sz w:val="18"/>
          <w:szCs w:val="18"/>
          <w:lang w:eastAsia="es-PE"/>
        </w:rPr>
        <w:t>e</w:t>
      </w:r>
      <w:r>
        <w:rPr>
          <w:rFonts w:ascii="Arial" w:eastAsia="Times New Roman" w:hAnsi="Arial" w:cs="Arial"/>
          <w:bCs/>
          <w:color w:val="000000"/>
          <w:sz w:val="18"/>
          <w:szCs w:val="18"/>
          <w:lang w:eastAsia="es-PE"/>
        </w:rPr>
        <w:t>l</w:t>
      </w:r>
      <w:r w:rsidRPr="007A47FE">
        <w:rPr>
          <w:rFonts w:ascii="Arial" w:eastAsia="Times New Roman" w:hAnsi="Arial" w:cs="Arial"/>
          <w:bCs/>
          <w:color w:val="000000"/>
          <w:sz w:val="18"/>
          <w:szCs w:val="18"/>
          <w:lang w:eastAsia="es-PE"/>
        </w:rPr>
        <w:t xml:space="preserve"> acuerdo al Decreto supremo N° 0018-2006 “REGLAMENTO DE LA LEY QUE CREA LA UNIDAD DE INTELIGENCIA FINANCIERA DEL PERÚ”, el Sistema Anti Lavado y Contra el Financiamiento del Terrorismo en el Perú – SILAFIT es el Sistema integrado por el sector privado, el sector público y la comunidad internacional, de lucha local e internacional contra el lavado de activos y el financiamiento del terrorismo, dado que ambos delitos trascienden fronteras.</w:t>
      </w:r>
    </w:p>
    <w:p w:rsidR="007A47FE" w:rsidRPr="007A47FE" w:rsidRDefault="007A47FE" w:rsidP="007A47FE">
      <w:pPr>
        <w:spacing w:after="0"/>
        <w:jc w:val="both"/>
        <w:rPr>
          <w:rFonts w:ascii="Arial" w:eastAsia="Times New Roman" w:hAnsi="Arial" w:cs="Arial"/>
          <w:bCs/>
          <w:color w:val="000000"/>
          <w:sz w:val="18"/>
          <w:szCs w:val="18"/>
          <w:lang w:eastAsia="es-PE"/>
        </w:rPr>
      </w:pPr>
    </w:p>
    <w:p w:rsidR="007A47FE" w:rsidRDefault="007A47FE" w:rsidP="007A47FE">
      <w:pPr>
        <w:spacing w:after="0"/>
        <w:jc w:val="both"/>
        <w:rPr>
          <w:rFonts w:ascii="Arial" w:eastAsia="Times New Roman" w:hAnsi="Arial" w:cs="Arial"/>
          <w:bCs/>
          <w:color w:val="000000"/>
          <w:sz w:val="18"/>
          <w:szCs w:val="18"/>
          <w:lang w:eastAsia="es-PE"/>
        </w:rPr>
      </w:pPr>
      <w:r w:rsidRPr="007A47FE">
        <w:rPr>
          <w:rFonts w:ascii="Arial" w:eastAsia="Times New Roman" w:hAnsi="Arial" w:cs="Arial"/>
          <w:bCs/>
          <w:color w:val="000000"/>
          <w:sz w:val="18"/>
          <w:szCs w:val="18"/>
          <w:lang w:eastAsia="es-PE"/>
        </w:rPr>
        <w:lastRenderedPageBreak/>
        <w:t>El SILAFIT está compuesto, localmente, por los Sujetos Obligados a Informar, el Ministerio Público, el Poder Judicial, la UIF-Perú, los Órganos Supervisores, los Órganos de Control y la Policía Nacional del Perú; colaborando con el mismo todas las restantes instituciones públicas, e internacionalmente, por cualquier agencia competente para detectar o denunciar los delitos de lavado de activos y financiamiento del terrorismo.</w:t>
      </w:r>
    </w:p>
    <w:p w:rsidR="007B65F5" w:rsidRDefault="007B65F5" w:rsidP="007A47FE">
      <w:pPr>
        <w:spacing w:after="0"/>
        <w:jc w:val="both"/>
        <w:rPr>
          <w:rFonts w:ascii="Arial" w:eastAsia="Times New Roman" w:hAnsi="Arial" w:cs="Arial"/>
          <w:bCs/>
          <w:color w:val="000000"/>
          <w:sz w:val="18"/>
          <w:szCs w:val="18"/>
          <w:lang w:eastAsia="es-PE"/>
        </w:rPr>
      </w:pPr>
    </w:p>
    <w:p w:rsidR="00893659" w:rsidRDefault="00893659" w:rsidP="007A47FE">
      <w:pPr>
        <w:spacing w:after="0"/>
        <w:jc w:val="both"/>
        <w:rPr>
          <w:rFonts w:ascii="Arial" w:eastAsia="Times New Roman" w:hAnsi="Arial" w:cs="Arial"/>
          <w:b/>
          <w:bCs/>
          <w:color w:val="000000"/>
          <w:sz w:val="18"/>
          <w:szCs w:val="18"/>
          <w:lang w:eastAsia="es-PE"/>
        </w:rPr>
      </w:pPr>
    </w:p>
    <w:p w:rsidR="00893659" w:rsidRDefault="00893659" w:rsidP="007A47FE">
      <w:pPr>
        <w:spacing w:after="0"/>
        <w:jc w:val="both"/>
        <w:rPr>
          <w:rFonts w:ascii="Arial" w:eastAsia="Times New Roman" w:hAnsi="Arial" w:cs="Arial"/>
          <w:b/>
          <w:bCs/>
          <w:color w:val="000000"/>
          <w:sz w:val="18"/>
          <w:szCs w:val="18"/>
          <w:lang w:eastAsia="es-PE"/>
        </w:rPr>
      </w:pPr>
    </w:p>
    <w:p w:rsidR="009816DD" w:rsidRDefault="009816DD" w:rsidP="007A47FE">
      <w:pPr>
        <w:spacing w:after="0"/>
        <w:jc w:val="both"/>
        <w:rPr>
          <w:rFonts w:ascii="Arial" w:eastAsia="Times New Roman" w:hAnsi="Arial" w:cs="Arial"/>
          <w:b/>
          <w:bCs/>
          <w:color w:val="000000"/>
          <w:sz w:val="18"/>
          <w:szCs w:val="18"/>
          <w:lang w:eastAsia="es-PE"/>
        </w:rPr>
      </w:pPr>
    </w:p>
    <w:p w:rsidR="007B65F5" w:rsidRPr="00893659" w:rsidRDefault="007B65F5" w:rsidP="007A47FE">
      <w:pPr>
        <w:spacing w:after="0"/>
        <w:jc w:val="both"/>
        <w:rPr>
          <w:rFonts w:ascii="Arial" w:eastAsia="Times New Roman" w:hAnsi="Arial" w:cs="Arial"/>
          <w:b/>
          <w:bCs/>
          <w:color w:val="000000"/>
          <w:sz w:val="18"/>
          <w:szCs w:val="18"/>
          <w:lang w:eastAsia="es-PE"/>
        </w:rPr>
      </w:pPr>
      <w:r w:rsidRPr="00893659">
        <w:rPr>
          <w:rFonts w:ascii="Arial" w:eastAsia="Times New Roman" w:hAnsi="Arial" w:cs="Arial"/>
          <w:b/>
          <w:bCs/>
          <w:color w:val="000000"/>
          <w:sz w:val="18"/>
          <w:szCs w:val="18"/>
          <w:lang w:eastAsia="es-PE"/>
        </w:rPr>
        <w:t>Según Resolución de Mincetur</w:t>
      </w:r>
    </w:p>
    <w:p w:rsidR="007B65F5" w:rsidRDefault="007B65F5" w:rsidP="007A47FE">
      <w:pPr>
        <w:spacing w:after="0"/>
        <w:jc w:val="both"/>
        <w:rPr>
          <w:rFonts w:ascii="Arial" w:eastAsia="Times New Roman" w:hAnsi="Arial" w:cs="Arial"/>
          <w:bCs/>
          <w:color w:val="000000"/>
          <w:sz w:val="18"/>
          <w:szCs w:val="18"/>
          <w:lang w:eastAsia="es-PE"/>
        </w:rPr>
      </w:pPr>
    </w:p>
    <w:p w:rsidR="007B65F5" w:rsidRPr="007B65F5" w:rsidRDefault="007B65F5" w:rsidP="007B65F5">
      <w:pPr>
        <w:spacing w:after="0"/>
        <w:jc w:val="both"/>
        <w:rPr>
          <w:rFonts w:ascii="Arial" w:eastAsia="Times New Roman" w:hAnsi="Arial" w:cs="Arial"/>
          <w:bCs/>
          <w:color w:val="000000"/>
          <w:sz w:val="18"/>
          <w:szCs w:val="18"/>
          <w:lang w:eastAsia="es-PE"/>
        </w:rPr>
      </w:pPr>
      <w:r w:rsidRPr="007B65F5">
        <w:rPr>
          <w:rFonts w:ascii="Arial" w:eastAsia="Times New Roman" w:hAnsi="Arial" w:cs="Arial"/>
          <w:bCs/>
          <w:color w:val="000000"/>
          <w:sz w:val="18"/>
          <w:szCs w:val="18"/>
          <w:lang w:eastAsia="es-PE"/>
        </w:rPr>
        <w:t>Aprueban Reglamento de Infracciones y Sanciones en materia de Prevención del Lavado de Activos y del Financiamiento del Terrorismo aplicable a las Empresas que explotan Juegos de Casino y/o Máquinas T</w:t>
      </w:r>
    </w:p>
    <w:p w:rsidR="007B65F5" w:rsidRPr="007B65F5" w:rsidRDefault="007B65F5" w:rsidP="007B65F5">
      <w:pPr>
        <w:spacing w:after="0"/>
        <w:jc w:val="both"/>
        <w:rPr>
          <w:rFonts w:ascii="Arial" w:eastAsia="Times New Roman" w:hAnsi="Arial" w:cs="Arial"/>
          <w:bCs/>
          <w:color w:val="000000"/>
          <w:sz w:val="18"/>
          <w:szCs w:val="18"/>
          <w:lang w:eastAsia="es-PE"/>
        </w:rPr>
      </w:pPr>
    </w:p>
    <w:p w:rsidR="007B65F5" w:rsidRPr="007B65F5" w:rsidRDefault="007B65F5" w:rsidP="007B65F5">
      <w:pPr>
        <w:spacing w:after="0"/>
        <w:jc w:val="both"/>
        <w:rPr>
          <w:rFonts w:ascii="Arial" w:eastAsia="Times New Roman" w:hAnsi="Arial" w:cs="Arial"/>
          <w:bCs/>
          <w:color w:val="000000"/>
          <w:sz w:val="18"/>
          <w:szCs w:val="18"/>
          <w:lang w:eastAsia="es-PE"/>
        </w:rPr>
      </w:pPr>
      <w:r w:rsidRPr="007B65F5">
        <w:rPr>
          <w:rFonts w:ascii="Arial" w:eastAsia="Times New Roman" w:hAnsi="Arial" w:cs="Arial"/>
          <w:bCs/>
          <w:color w:val="000000"/>
          <w:sz w:val="18"/>
          <w:szCs w:val="18"/>
          <w:lang w:eastAsia="es-PE"/>
        </w:rPr>
        <w:t>Resolución SBS N° 5389-2013</w:t>
      </w:r>
    </w:p>
    <w:p w:rsidR="007B65F5" w:rsidRPr="007B65F5" w:rsidRDefault="007B65F5" w:rsidP="007B65F5">
      <w:pPr>
        <w:spacing w:after="0"/>
        <w:jc w:val="both"/>
        <w:rPr>
          <w:rFonts w:ascii="Arial" w:eastAsia="Times New Roman" w:hAnsi="Arial" w:cs="Arial"/>
          <w:bCs/>
          <w:color w:val="000000"/>
          <w:sz w:val="18"/>
          <w:szCs w:val="18"/>
          <w:lang w:eastAsia="es-PE"/>
        </w:rPr>
      </w:pPr>
    </w:p>
    <w:p w:rsidR="007B65F5" w:rsidRDefault="007B65F5" w:rsidP="007B65F5">
      <w:pPr>
        <w:spacing w:after="0"/>
        <w:jc w:val="both"/>
        <w:rPr>
          <w:rFonts w:ascii="Arial" w:eastAsia="Times New Roman" w:hAnsi="Arial" w:cs="Arial"/>
          <w:bCs/>
          <w:color w:val="000000"/>
          <w:sz w:val="18"/>
          <w:szCs w:val="18"/>
          <w:lang w:eastAsia="es-PE"/>
        </w:rPr>
      </w:pPr>
      <w:r w:rsidRPr="007B65F5">
        <w:rPr>
          <w:rFonts w:ascii="Arial" w:eastAsia="Times New Roman" w:hAnsi="Arial" w:cs="Arial"/>
          <w:bCs/>
          <w:color w:val="000000"/>
          <w:sz w:val="18"/>
          <w:szCs w:val="18"/>
          <w:lang w:eastAsia="es-PE"/>
        </w:rPr>
        <w:t>Mediante Resolución Ministerial Nº 063-2009-MINCETUR-DM, de fecha 19 de mayo de 2009, el Ministerio de Comercio Exterior y Turismo (MINCETUR), en su calidad de organismo supervisor de las empresas de juegos de casino y máquinas tragamonedas, sujetos obligados a informar a la UIF-Perú, aprobó la Directiva “Normas para la prevención del lavado de activos y financiamiento del terrorismo, aplicable a las empresas que explotan juegos de casino y máquinas tragamonedas. En ese sentido, siendo necesario aprobar las nuevas normas que establezcan infracciones y sanciones aplicables a las empresas que explotan juegos de casino y/o máquinas tragamonedas, en materia de prevención del lavado de activos y del financiamiento del terrorismo, las cuales han sido coordinadas con el MINCETUR, se aprueba el Reglamento de Infracciones y Sanciones en materia de Prevención del Lavado de Activos y del Financiamiento del Terrorismo aplicable a las Empresas que explotan Juegos de Casino y/o Máquinas Tragamonedas.</w:t>
      </w:r>
    </w:p>
    <w:p w:rsidR="007B65F5" w:rsidRDefault="007B65F5" w:rsidP="007B65F5">
      <w:pPr>
        <w:spacing w:after="0"/>
        <w:jc w:val="both"/>
        <w:rPr>
          <w:rFonts w:ascii="Arial" w:eastAsia="Times New Roman" w:hAnsi="Arial" w:cs="Arial"/>
          <w:bCs/>
          <w:color w:val="000000"/>
          <w:sz w:val="18"/>
          <w:szCs w:val="18"/>
          <w:lang w:eastAsia="es-PE"/>
        </w:rPr>
      </w:pPr>
    </w:p>
    <w:p w:rsidR="007B65F5" w:rsidRDefault="00D56BF6" w:rsidP="007B65F5">
      <w:pPr>
        <w:spacing w:after="0"/>
        <w:jc w:val="both"/>
        <w:rPr>
          <w:rFonts w:ascii="Arial" w:eastAsia="Times New Roman" w:hAnsi="Arial" w:cs="Arial"/>
          <w:bCs/>
          <w:color w:val="000000"/>
          <w:sz w:val="18"/>
          <w:szCs w:val="18"/>
          <w:lang w:eastAsia="es-PE"/>
        </w:rPr>
      </w:pPr>
      <w:r>
        <w:rPr>
          <w:rFonts w:ascii="Arial" w:eastAsia="Times New Roman" w:hAnsi="Arial" w:cs="Arial"/>
          <w:bCs/>
          <w:color w:val="000000"/>
          <w:sz w:val="18"/>
          <w:szCs w:val="18"/>
          <w:lang w:eastAsia="es-PE"/>
        </w:rPr>
        <w:t>Que conforme a lo dispuesto por el artículo 3º en el numeral 9.A.4 Y 9.A.5 DEL ARTICULO 9º-A De la Ley Nº 27693, modificada por primera disposición complementaria</w:t>
      </w:r>
    </w:p>
    <w:p w:rsidR="00625F36" w:rsidRPr="001246D4" w:rsidRDefault="00DD6898" w:rsidP="00625F36">
      <w:pPr>
        <w:jc w:val="both"/>
        <w:rPr>
          <w:rFonts w:ascii="Arial Narrow" w:hAnsi="Arial Narrow"/>
          <w:b/>
          <w:sz w:val="20"/>
          <w:szCs w:val="20"/>
        </w:rPr>
      </w:pPr>
      <w:r w:rsidRPr="001246D4">
        <w:rPr>
          <w:rFonts w:ascii="Arial Narrow" w:hAnsi="Arial Narrow"/>
          <w:b/>
          <w:sz w:val="20"/>
          <w:szCs w:val="20"/>
        </w:rPr>
        <w:t>I. –</w:t>
      </w:r>
      <w:r w:rsidR="00625F36" w:rsidRPr="001246D4">
        <w:rPr>
          <w:rFonts w:ascii="Arial Narrow" w:hAnsi="Arial Narrow"/>
          <w:b/>
          <w:sz w:val="20"/>
          <w:szCs w:val="20"/>
        </w:rPr>
        <w:t xml:space="preserve"> INFRACCIONES LEVES</w:t>
      </w:r>
    </w:p>
    <w:p w:rsidR="00625F36" w:rsidRPr="00665C4E" w:rsidRDefault="00625F36" w:rsidP="00625F36">
      <w:pPr>
        <w:jc w:val="both"/>
        <w:rPr>
          <w:rFonts w:ascii="Arial Narrow" w:hAnsi="Arial Narrow"/>
          <w:b/>
          <w:sz w:val="20"/>
          <w:szCs w:val="20"/>
        </w:rPr>
      </w:pPr>
      <w:r w:rsidRPr="00665C4E">
        <w:rPr>
          <w:rFonts w:ascii="Arial Narrow" w:hAnsi="Arial Narrow"/>
          <w:b/>
          <w:sz w:val="20"/>
          <w:szCs w:val="20"/>
        </w:rPr>
        <w:t>Con relación a la capacitación</w:t>
      </w:r>
      <w:r>
        <w:rPr>
          <w:rFonts w:ascii="Arial Narrow" w:hAnsi="Arial Narrow"/>
          <w:b/>
          <w:sz w:val="20"/>
          <w:szCs w:val="20"/>
        </w:rPr>
        <w:t xml:space="preserve"> en materia de prevención de LA/FT</w:t>
      </w:r>
      <w:r w:rsidRPr="00665C4E">
        <w:rPr>
          <w:rFonts w:ascii="Arial Narrow" w:hAnsi="Arial Narrow"/>
          <w:b/>
          <w:sz w:val="20"/>
          <w:szCs w:val="20"/>
        </w:rPr>
        <w:tab/>
      </w:r>
      <w:r w:rsidRPr="00665C4E">
        <w:rPr>
          <w:rFonts w:ascii="Arial Narrow" w:hAnsi="Arial Narrow"/>
          <w:b/>
          <w:sz w:val="20"/>
          <w:szCs w:val="20"/>
        </w:rPr>
        <w:tab/>
      </w:r>
      <w:r w:rsidRPr="00665C4E">
        <w:rPr>
          <w:rFonts w:ascii="Arial Narrow" w:hAnsi="Arial Narrow"/>
          <w:b/>
          <w:sz w:val="20"/>
          <w:szCs w:val="20"/>
        </w:rPr>
        <w:tab/>
      </w:r>
      <w:r w:rsidRPr="00665C4E">
        <w:rPr>
          <w:rFonts w:ascii="Arial Narrow" w:hAnsi="Arial Narrow"/>
          <w:b/>
          <w:sz w:val="20"/>
          <w:szCs w:val="20"/>
        </w:rPr>
        <w:tab/>
      </w:r>
      <w:r w:rsidRPr="00665C4E">
        <w:rPr>
          <w:rFonts w:ascii="Arial Narrow" w:hAnsi="Arial Narrow"/>
          <w:b/>
          <w:sz w:val="20"/>
          <w:szCs w:val="20"/>
        </w:rPr>
        <w:tab/>
      </w:r>
      <w:r w:rsidRPr="00665C4E">
        <w:rPr>
          <w:rFonts w:ascii="Arial Narrow" w:hAnsi="Arial Narrow"/>
          <w:b/>
          <w:sz w:val="20"/>
          <w:szCs w:val="20"/>
        </w:rPr>
        <w:tab/>
      </w:r>
      <w:r w:rsidRPr="00665C4E">
        <w:rPr>
          <w:rFonts w:ascii="Arial Narrow" w:hAnsi="Arial Narrow"/>
          <w:b/>
          <w:sz w:val="20"/>
          <w:szCs w:val="20"/>
        </w:rPr>
        <w:tab/>
      </w: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8759"/>
        <w:gridCol w:w="1229"/>
      </w:tblGrid>
      <w:tr w:rsidR="00625F36" w:rsidRPr="00665C4E" w:rsidTr="009816DD">
        <w:trPr>
          <w:trHeight w:val="323"/>
        </w:trPr>
        <w:tc>
          <w:tcPr>
            <w:tcW w:w="1042" w:type="dxa"/>
            <w:shd w:val="clear" w:color="auto" w:fill="F2F2F2" w:themeFill="background1" w:themeFillShade="F2"/>
          </w:tcPr>
          <w:p w:rsidR="00625F36" w:rsidRPr="00614E1A" w:rsidRDefault="00625F36" w:rsidP="0016794A">
            <w:pPr>
              <w:jc w:val="center"/>
              <w:rPr>
                <w:rFonts w:ascii="Arial Narrow" w:hAnsi="Arial Narrow" w:cs="Arial"/>
                <w:b/>
                <w:sz w:val="20"/>
                <w:szCs w:val="20"/>
              </w:rPr>
            </w:pPr>
            <w:r w:rsidRPr="00614E1A">
              <w:rPr>
                <w:rFonts w:ascii="Arial Narrow" w:hAnsi="Arial Narrow" w:cs="Arial"/>
                <w:b/>
                <w:sz w:val="20"/>
                <w:szCs w:val="20"/>
              </w:rPr>
              <w:t>#</w:t>
            </w:r>
          </w:p>
        </w:tc>
        <w:tc>
          <w:tcPr>
            <w:tcW w:w="8759" w:type="dxa"/>
            <w:shd w:val="clear" w:color="auto" w:fill="F2F2F2" w:themeFill="background1" w:themeFillShade="F2"/>
          </w:tcPr>
          <w:p w:rsidR="00625F36" w:rsidRPr="00614E1A" w:rsidRDefault="00625F36" w:rsidP="0016794A">
            <w:pPr>
              <w:pStyle w:val="Prrafodelista"/>
              <w:ind w:left="33"/>
              <w:jc w:val="both"/>
              <w:rPr>
                <w:rFonts w:cs="Arial"/>
                <w:b/>
                <w:sz w:val="20"/>
                <w:szCs w:val="20"/>
              </w:rPr>
            </w:pPr>
            <w:r w:rsidRPr="00614E1A">
              <w:rPr>
                <w:rFonts w:cs="Arial"/>
                <w:b/>
                <w:sz w:val="20"/>
                <w:szCs w:val="20"/>
              </w:rPr>
              <w:t xml:space="preserve">INFRACCIÓN </w:t>
            </w:r>
          </w:p>
        </w:tc>
        <w:tc>
          <w:tcPr>
            <w:tcW w:w="1229" w:type="dxa"/>
            <w:shd w:val="clear" w:color="auto" w:fill="F2F2F2" w:themeFill="background1" w:themeFillShade="F2"/>
          </w:tcPr>
          <w:p w:rsidR="00625F36" w:rsidRPr="00614E1A" w:rsidRDefault="00625F36" w:rsidP="0016794A">
            <w:pPr>
              <w:jc w:val="center"/>
              <w:rPr>
                <w:rFonts w:ascii="Arial Narrow" w:hAnsi="Arial Narrow" w:cs="Arial"/>
                <w:b/>
                <w:sz w:val="20"/>
                <w:szCs w:val="20"/>
              </w:rPr>
            </w:pPr>
            <w:r w:rsidRPr="00614E1A">
              <w:rPr>
                <w:rFonts w:ascii="Arial Narrow" w:hAnsi="Arial Narrow" w:cs="Arial"/>
                <w:b/>
                <w:sz w:val="20"/>
                <w:szCs w:val="20"/>
              </w:rPr>
              <w:t>SANCIÓN</w:t>
            </w:r>
          </w:p>
        </w:tc>
      </w:tr>
      <w:tr w:rsidR="00625F36" w:rsidRPr="00665C4E" w:rsidTr="009816DD">
        <w:trPr>
          <w:trHeight w:val="487"/>
        </w:trPr>
        <w:tc>
          <w:tcPr>
            <w:tcW w:w="104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1</w:t>
            </w:r>
          </w:p>
        </w:tc>
        <w:tc>
          <w:tcPr>
            <w:tcW w:w="8759" w:type="dxa"/>
          </w:tcPr>
          <w:p w:rsidR="00625F36" w:rsidRPr="00AB49D9" w:rsidRDefault="00625F36" w:rsidP="0016794A">
            <w:pPr>
              <w:pStyle w:val="Prrafodelista"/>
              <w:ind w:left="33"/>
              <w:jc w:val="both"/>
              <w:rPr>
                <w:rFonts w:cs="Arial"/>
                <w:bCs/>
                <w:sz w:val="20"/>
                <w:szCs w:val="20"/>
              </w:rPr>
            </w:pPr>
            <w:r w:rsidRPr="00665C4E">
              <w:rPr>
                <w:rFonts w:cs="Arial"/>
                <w:bCs/>
                <w:sz w:val="20"/>
                <w:szCs w:val="20"/>
              </w:rPr>
              <w:t>N</w:t>
            </w:r>
            <w:r w:rsidRPr="00665C4E">
              <w:rPr>
                <w:rFonts w:cs="Arial"/>
                <w:sz w:val="20"/>
                <w:szCs w:val="20"/>
              </w:rPr>
              <w:t xml:space="preserve">o </w:t>
            </w:r>
            <w:r>
              <w:rPr>
                <w:rFonts w:cs="Arial"/>
                <w:sz w:val="20"/>
                <w:szCs w:val="20"/>
              </w:rPr>
              <w:t xml:space="preserve">capacitar a los nuevos </w:t>
            </w:r>
            <w:r w:rsidRPr="00EE3762">
              <w:rPr>
                <w:rFonts w:cs="Arial"/>
                <w:sz w:val="20"/>
                <w:szCs w:val="20"/>
              </w:rPr>
              <w:t>trabajadores sobre las normas en materia de prev</w:t>
            </w:r>
            <w:r w:rsidRPr="00EE3762">
              <w:rPr>
                <w:rFonts w:cs="Arial"/>
                <w:bCs/>
                <w:sz w:val="20"/>
                <w:szCs w:val="20"/>
              </w:rPr>
              <w:t>ención</w:t>
            </w:r>
            <w:r w:rsidRPr="00665C4E">
              <w:rPr>
                <w:rFonts w:cs="Arial"/>
                <w:bCs/>
                <w:sz w:val="20"/>
                <w:szCs w:val="20"/>
              </w:rPr>
              <w:t xml:space="preserve"> del lavado de activos y del financiamiento del terrorismo </w:t>
            </w:r>
            <w:r>
              <w:rPr>
                <w:rFonts w:cs="Arial"/>
                <w:bCs/>
                <w:sz w:val="20"/>
                <w:szCs w:val="20"/>
              </w:rPr>
              <w:t>dentro del plazo establecido.</w:t>
            </w:r>
          </w:p>
        </w:tc>
        <w:tc>
          <w:tcPr>
            <w:tcW w:w="1229" w:type="dxa"/>
            <w:shd w:val="clear" w:color="auto" w:fill="auto"/>
          </w:tcPr>
          <w:p w:rsidR="00625F36" w:rsidRPr="00665C4E" w:rsidRDefault="00625F36" w:rsidP="00625F36">
            <w:pPr>
              <w:jc w:val="center"/>
              <w:rPr>
                <w:rFonts w:ascii="Arial Narrow" w:hAnsi="Arial Narrow" w:cs="Arial"/>
                <w:sz w:val="20"/>
                <w:szCs w:val="20"/>
              </w:rPr>
            </w:pPr>
            <w:r>
              <w:rPr>
                <w:rFonts w:ascii="Arial Narrow" w:hAnsi="Arial Narrow" w:cs="Arial"/>
                <w:sz w:val="20"/>
                <w:szCs w:val="20"/>
              </w:rPr>
              <w:t xml:space="preserve">Multa </w:t>
            </w:r>
            <w:r>
              <w:rPr>
                <w:rFonts w:ascii="Arial Narrow" w:hAnsi="Arial Narrow" w:cs="Arial"/>
                <w:sz w:val="20"/>
                <w:szCs w:val="20"/>
              </w:rPr>
              <w:t>1 UIT</w:t>
            </w:r>
          </w:p>
        </w:tc>
      </w:tr>
      <w:tr w:rsidR="00625F36" w:rsidRPr="00665C4E" w:rsidTr="009816DD">
        <w:trPr>
          <w:trHeight w:val="649"/>
        </w:trPr>
        <w:tc>
          <w:tcPr>
            <w:tcW w:w="104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w:t>
            </w:r>
          </w:p>
        </w:tc>
        <w:tc>
          <w:tcPr>
            <w:tcW w:w="8759" w:type="dxa"/>
          </w:tcPr>
          <w:p w:rsidR="00625F36" w:rsidRPr="00665C4E" w:rsidRDefault="00625F36" w:rsidP="0016794A">
            <w:pPr>
              <w:pStyle w:val="Prrafodelista"/>
              <w:ind w:left="33"/>
              <w:jc w:val="both"/>
              <w:rPr>
                <w:rFonts w:cs="Arial"/>
                <w:bCs/>
                <w:sz w:val="20"/>
                <w:szCs w:val="20"/>
              </w:rPr>
            </w:pPr>
            <w:r w:rsidRPr="00665C4E">
              <w:rPr>
                <w:rFonts w:cs="Arial"/>
                <w:sz w:val="20"/>
                <w:szCs w:val="20"/>
              </w:rPr>
              <w:t>No ejecutar</w:t>
            </w:r>
            <w:r w:rsidRPr="00665C4E">
              <w:rPr>
                <w:rFonts w:cs="Arial"/>
                <w:bCs/>
                <w:sz w:val="20"/>
                <w:szCs w:val="20"/>
              </w:rPr>
              <w:t xml:space="preserve"> durante el año calendario el programa de capacitación, </w:t>
            </w:r>
            <w:r w:rsidRPr="00665C4E">
              <w:rPr>
                <w:rFonts w:cs="Arial"/>
                <w:sz w:val="20"/>
                <w:szCs w:val="20"/>
              </w:rPr>
              <w:t xml:space="preserve">en materia de </w:t>
            </w:r>
            <w:r w:rsidRPr="00665C4E">
              <w:rPr>
                <w:rFonts w:cs="Arial"/>
                <w:bCs/>
                <w:sz w:val="20"/>
                <w:szCs w:val="20"/>
              </w:rPr>
              <w:t>prevención del lavado de activos y del financiamiento del terrorismo</w:t>
            </w:r>
            <w:r>
              <w:rPr>
                <w:rFonts w:cs="Arial"/>
                <w:bCs/>
                <w:sz w:val="20"/>
                <w:szCs w:val="20"/>
              </w:rPr>
              <w:t>.</w:t>
            </w:r>
          </w:p>
        </w:tc>
        <w:tc>
          <w:tcPr>
            <w:tcW w:w="1229" w:type="dxa"/>
            <w:shd w:val="clear" w:color="auto" w:fill="auto"/>
          </w:tcPr>
          <w:p w:rsidR="00625F36" w:rsidRDefault="00625F36" w:rsidP="00625F36">
            <w:pPr>
              <w:jc w:val="center"/>
              <w:rPr>
                <w:rFonts w:ascii="Arial Narrow" w:hAnsi="Arial Narrow" w:cs="Arial"/>
                <w:sz w:val="20"/>
                <w:szCs w:val="20"/>
              </w:rPr>
            </w:pPr>
            <w:r>
              <w:rPr>
                <w:rFonts w:ascii="Arial Narrow" w:hAnsi="Arial Narrow" w:cs="Arial"/>
                <w:sz w:val="20"/>
                <w:szCs w:val="20"/>
              </w:rPr>
              <w:t xml:space="preserve">Multa </w:t>
            </w:r>
            <w:r>
              <w:rPr>
                <w:rFonts w:ascii="Arial Narrow" w:hAnsi="Arial Narrow" w:cs="Arial"/>
                <w:sz w:val="20"/>
                <w:szCs w:val="20"/>
              </w:rPr>
              <w:t xml:space="preserve"> </w:t>
            </w:r>
            <w:r>
              <w:rPr>
                <w:rFonts w:ascii="Arial Narrow" w:hAnsi="Arial Narrow" w:cs="Arial"/>
                <w:sz w:val="20"/>
                <w:szCs w:val="20"/>
              </w:rPr>
              <w:t>3 UIT</w:t>
            </w:r>
          </w:p>
        </w:tc>
      </w:tr>
      <w:tr w:rsidR="00625F36" w:rsidRPr="00665C4E" w:rsidTr="009816DD">
        <w:trPr>
          <w:trHeight w:val="97"/>
        </w:trPr>
        <w:tc>
          <w:tcPr>
            <w:tcW w:w="104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3.</w:t>
            </w:r>
          </w:p>
        </w:tc>
        <w:tc>
          <w:tcPr>
            <w:tcW w:w="8759" w:type="dxa"/>
          </w:tcPr>
          <w:p w:rsidR="00625F36" w:rsidRPr="00665C4E" w:rsidRDefault="00625F36" w:rsidP="0016794A">
            <w:pPr>
              <w:pStyle w:val="Prrafodelista"/>
              <w:ind w:left="33"/>
              <w:jc w:val="both"/>
              <w:rPr>
                <w:rFonts w:cs="Arial"/>
                <w:sz w:val="20"/>
                <w:szCs w:val="20"/>
              </w:rPr>
            </w:pPr>
            <w:r w:rsidRPr="00665C4E">
              <w:rPr>
                <w:rFonts w:cs="Arial"/>
                <w:sz w:val="20"/>
                <w:szCs w:val="20"/>
              </w:rPr>
              <w:t xml:space="preserve">No  contar con el programa de capacitación, en materia de </w:t>
            </w:r>
            <w:r w:rsidRPr="00665C4E">
              <w:rPr>
                <w:rFonts w:cs="Arial"/>
                <w:bCs/>
                <w:sz w:val="20"/>
                <w:szCs w:val="20"/>
              </w:rPr>
              <w:t>prevención del lavado de activos y del financiamiento del terrorismo</w:t>
            </w:r>
            <w:r w:rsidRPr="00665C4E">
              <w:rPr>
                <w:rFonts w:cs="Arial"/>
                <w:sz w:val="20"/>
                <w:szCs w:val="20"/>
              </w:rPr>
              <w:t>.</w:t>
            </w:r>
          </w:p>
        </w:tc>
        <w:tc>
          <w:tcPr>
            <w:tcW w:w="1229" w:type="dxa"/>
            <w:shd w:val="clear" w:color="auto" w:fill="auto"/>
          </w:tcPr>
          <w:p w:rsidR="00625F36" w:rsidRDefault="00625F36" w:rsidP="00625F36">
            <w:pPr>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5 UIT</w:t>
            </w:r>
          </w:p>
        </w:tc>
      </w:tr>
    </w:tbl>
    <w:p w:rsidR="00175AE5" w:rsidRDefault="00175AE5" w:rsidP="00175AE5">
      <w:pPr>
        <w:spacing w:after="0" w:line="240" w:lineRule="auto"/>
        <w:jc w:val="both"/>
        <w:rPr>
          <w:rFonts w:ascii="Arial Narrow" w:hAnsi="Arial Narrow" w:cs="Arial"/>
          <w:b/>
          <w:sz w:val="20"/>
          <w:szCs w:val="20"/>
        </w:rPr>
      </w:pPr>
    </w:p>
    <w:p w:rsidR="00625F36" w:rsidRPr="00665C4E" w:rsidRDefault="00625F36" w:rsidP="00175AE5">
      <w:pPr>
        <w:spacing w:after="0" w:line="240" w:lineRule="auto"/>
        <w:jc w:val="both"/>
        <w:rPr>
          <w:rFonts w:ascii="Arial Narrow" w:hAnsi="Arial Narrow" w:cs="Arial"/>
          <w:b/>
          <w:sz w:val="20"/>
          <w:szCs w:val="20"/>
        </w:rPr>
      </w:pPr>
      <w:r w:rsidRPr="00665C4E">
        <w:rPr>
          <w:rFonts w:ascii="Arial Narrow" w:hAnsi="Arial Narrow" w:cs="Arial"/>
          <w:b/>
          <w:sz w:val="20"/>
          <w:szCs w:val="20"/>
        </w:rPr>
        <w:t>II.- INFRACCIONES GRAVES</w:t>
      </w:r>
    </w:p>
    <w:p w:rsidR="00625F36" w:rsidRPr="00522A9E" w:rsidRDefault="00625F36" w:rsidP="00625F36">
      <w:pPr>
        <w:jc w:val="both"/>
        <w:rPr>
          <w:rFonts w:ascii="Arial Narrow" w:hAnsi="Arial Narrow" w:cs="Arial"/>
          <w:b/>
          <w:sz w:val="20"/>
          <w:szCs w:val="20"/>
        </w:rPr>
      </w:pPr>
      <w:r w:rsidRPr="00665C4E">
        <w:rPr>
          <w:rFonts w:ascii="Arial Narrow" w:hAnsi="Arial Narrow" w:cs="Arial"/>
          <w:b/>
          <w:sz w:val="20"/>
          <w:szCs w:val="20"/>
        </w:rPr>
        <w:t>Con relación a observaciones y requerimiento de información efectuadas por la DGJCMT y/o la Superintendencia, a través de la UIF-Perú</w:t>
      </w:r>
      <w:r>
        <w:rPr>
          <w:rFonts w:ascii="Arial Narrow" w:hAnsi="Arial Narrow" w:cs="Arial"/>
          <w:b/>
          <w:sz w:val="20"/>
          <w:szCs w:val="20"/>
        </w:rPr>
        <w:t xml:space="preserve"> </w:t>
      </w:r>
      <w:r w:rsidRPr="00522A9E">
        <w:rPr>
          <w:rFonts w:ascii="Arial Narrow" w:hAnsi="Arial Narrow"/>
          <w:b/>
          <w:sz w:val="20"/>
          <w:szCs w:val="20"/>
        </w:rPr>
        <w:t>en materia de prevención de LA/FT</w:t>
      </w: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800"/>
        <w:gridCol w:w="1225"/>
      </w:tblGrid>
      <w:tr w:rsidR="00625F36" w:rsidRPr="00522A9E" w:rsidTr="00625F36">
        <w:trPr>
          <w:trHeight w:val="521"/>
        </w:trPr>
        <w:tc>
          <w:tcPr>
            <w:tcW w:w="960" w:type="dxa"/>
            <w:shd w:val="clear" w:color="auto" w:fill="F2F2F2" w:themeFill="background1" w:themeFillShade="F2"/>
          </w:tcPr>
          <w:p w:rsidR="00625F36" w:rsidRPr="00EE3762" w:rsidRDefault="00625F36" w:rsidP="0016794A">
            <w:pPr>
              <w:jc w:val="center"/>
              <w:rPr>
                <w:rFonts w:ascii="Arial Narrow" w:hAnsi="Arial Narrow" w:cs="Arial"/>
                <w:b/>
                <w:sz w:val="20"/>
                <w:szCs w:val="20"/>
              </w:rPr>
            </w:pPr>
            <w:r w:rsidRPr="00D82A14">
              <w:rPr>
                <w:rFonts w:ascii="Arial Narrow" w:hAnsi="Arial Narrow" w:cs="Arial"/>
                <w:b/>
                <w:sz w:val="20"/>
                <w:szCs w:val="20"/>
              </w:rPr>
              <w:t>#</w:t>
            </w:r>
          </w:p>
        </w:tc>
        <w:tc>
          <w:tcPr>
            <w:tcW w:w="8800" w:type="dxa"/>
            <w:shd w:val="clear" w:color="auto" w:fill="F2F2F2" w:themeFill="background1" w:themeFillShade="F2"/>
          </w:tcPr>
          <w:p w:rsidR="00625F36" w:rsidRPr="00522A9E" w:rsidRDefault="00625F36" w:rsidP="0016794A">
            <w:pPr>
              <w:pStyle w:val="Prrafodelista"/>
              <w:ind w:left="33"/>
              <w:jc w:val="both"/>
              <w:rPr>
                <w:rFonts w:eastAsia="Calibri" w:cs="Arial"/>
                <w:b/>
                <w:sz w:val="20"/>
                <w:szCs w:val="20"/>
              </w:rPr>
            </w:pPr>
            <w:r w:rsidRPr="00BB1C45">
              <w:rPr>
                <w:rFonts w:eastAsia="Calibri" w:cs="Arial"/>
                <w:b/>
                <w:sz w:val="20"/>
                <w:szCs w:val="20"/>
              </w:rPr>
              <w:t>INFRACCIÓN</w:t>
            </w:r>
          </w:p>
        </w:tc>
        <w:tc>
          <w:tcPr>
            <w:tcW w:w="1225" w:type="dxa"/>
            <w:shd w:val="clear" w:color="auto" w:fill="F2F2F2" w:themeFill="background1" w:themeFillShade="F2"/>
          </w:tcPr>
          <w:p w:rsidR="00625F36" w:rsidRPr="00522A9E" w:rsidRDefault="00625F36" w:rsidP="0016794A">
            <w:pPr>
              <w:jc w:val="center"/>
              <w:rPr>
                <w:rFonts w:ascii="Arial Narrow" w:hAnsi="Arial Narrow" w:cs="Arial"/>
                <w:b/>
                <w:sz w:val="20"/>
                <w:szCs w:val="20"/>
              </w:rPr>
            </w:pPr>
            <w:r>
              <w:rPr>
                <w:rFonts w:ascii="Arial Narrow" w:hAnsi="Arial Narrow" w:cs="Arial"/>
                <w:b/>
                <w:sz w:val="20"/>
                <w:szCs w:val="20"/>
              </w:rPr>
              <w:t>SANCIÓN</w:t>
            </w:r>
          </w:p>
        </w:tc>
      </w:tr>
      <w:tr w:rsidR="00625F36" w:rsidRPr="00522A9E" w:rsidTr="00625F36">
        <w:trPr>
          <w:trHeight w:val="521"/>
        </w:trPr>
        <w:tc>
          <w:tcPr>
            <w:tcW w:w="960" w:type="dxa"/>
          </w:tcPr>
          <w:p w:rsidR="00625F36" w:rsidRPr="00522A9E" w:rsidRDefault="00625F36" w:rsidP="00625F36">
            <w:pPr>
              <w:pStyle w:val="Prrafodelista"/>
              <w:numPr>
                <w:ilvl w:val="0"/>
                <w:numId w:val="4"/>
              </w:numPr>
              <w:tabs>
                <w:tab w:val="left" w:pos="265"/>
              </w:tabs>
              <w:spacing w:after="0" w:line="240" w:lineRule="auto"/>
              <w:jc w:val="center"/>
              <w:rPr>
                <w:rFonts w:cs="Arial"/>
                <w:sz w:val="20"/>
                <w:szCs w:val="20"/>
              </w:rPr>
            </w:pPr>
          </w:p>
        </w:tc>
        <w:tc>
          <w:tcPr>
            <w:tcW w:w="8800" w:type="dxa"/>
          </w:tcPr>
          <w:p w:rsidR="00625F36" w:rsidRPr="00522A9E" w:rsidRDefault="00625F36" w:rsidP="0016794A">
            <w:pPr>
              <w:jc w:val="both"/>
              <w:rPr>
                <w:rFonts w:ascii="Arial Narrow" w:hAnsi="Arial Narrow" w:cs="Arial"/>
                <w:sz w:val="20"/>
                <w:szCs w:val="20"/>
              </w:rPr>
            </w:pPr>
            <w:r w:rsidRPr="00522A9E">
              <w:rPr>
                <w:rFonts w:ascii="Arial Narrow" w:hAnsi="Arial Narrow" w:cs="Arial"/>
                <w:sz w:val="20"/>
                <w:szCs w:val="20"/>
              </w:rPr>
              <w:t xml:space="preserve">No subsanar las observaciones o implementar las recomendaciones realizadas por la DGJCMT dentro del plazo otorgado. </w:t>
            </w:r>
          </w:p>
        </w:tc>
        <w:tc>
          <w:tcPr>
            <w:tcW w:w="1225" w:type="dxa"/>
            <w:shd w:val="clear" w:color="auto" w:fill="auto"/>
          </w:tcPr>
          <w:p w:rsidR="00625F36" w:rsidRPr="00522A9E" w:rsidRDefault="00625F36" w:rsidP="00625F36">
            <w:pPr>
              <w:jc w:val="center"/>
              <w:rPr>
                <w:rFonts w:ascii="Arial Narrow" w:hAnsi="Arial Narrow" w:cs="Arial"/>
                <w:sz w:val="20"/>
                <w:szCs w:val="20"/>
              </w:rPr>
            </w:pPr>
            <w:r w:rsidRPr="00522A9E">
              <w:rPr>
                <w:rFonts w:ascii="Arial Narrow" w:hAnsi="Arial Narrow" w:cs="Arial"/>
                <w:sz w:val="20"/>
                <w:szCs w:val="20"/>
              </w:rPr>
              <w:t>Multa</w:t>
            </w:r>
            <w:r>
              <w:rPr>
                <w:rFonts w:ascii="Arial Narrow" w:hAnsi="Arial Narrow" w:cs="Arial"/>
                <w:sz w:val="20"/>
                <w:szCs w:val="20"/>
              </w:rPr>
              <w:t xml:space="preserve"> </w:t>
            </w:r>
            <w:r w:rsidRPr="00522A9E">
              <w:rPr>
                <w:rFonts w:ascii="Arial Narrow" w:hAnsi="Arial Narrow" w:cs="Arial"/>
                <w:sz w:val="20"/>
                <w:szCs w:val="20"/>
              </w:rPr>
              <w:t>6 UIT</w:t>
            </w:r>
          </w:p>
        </w:tc>
      </w:tr>
      <w:tr w:rsidR="00625F36" w:rsidRPr="00522A9E" w:rsidTr="00625F36">
        <w:trPr>
          <w:trHeight w:val="521"/>
        </w:trPr>
        <w:tc>
          <w:tcPr>
            <w:tcW w:w="960" w:type="dxa"/>
          </w:tcPr>
          <w:p w:rsidR="00625F36" w:rsidRPr="00D82A14" w:rsidRDefault="00625F36" w:rsidP="00625F36">
            <w:pPr>
              <w:pStyle w:val="Prrafodelista"/>
              <w:numPr>
                <w:ilvl w:val="0"/>
                <w:numId w:val="4"/>
              </w:numPr>
              <w:tabs>
                <w:tab w:val="left" w:pos="265"/>
              </w:tabs>
              <w:spacing w:after="0" w:line="240" w:lineRule="auto"/>
              <w:jc w:val="center"/>
              <w:rPr>
                <w:rFonts w:cs="Arial"/>
                <w:sz w:val="20"/>
                <w:szCs w:val="20"/>
              </w:rPr>
            </w:pPr>
          </w:p>
        </w:tc>
        <w:tc>
          <w:tcPr>
            <w:tcW w:w="8800" w:type="dxa"/>
          </w:tcPr>
          <w:p w:rsidR="00625F36" w:rsidRPr="00522A9E" w:rsidRDefault="00625F36" w:rsidP="0016794A">
            <w:pPr>
              <w:jc w:val="both"/>
              <w:rPr>
                <w:rFonts w:ascii="Arial Narrow" w:hAnsi="Arial Narrow" w:cs="Arial"/>
                <w:sz w:val="20"/>
                <w:szCs w:val="20"/>
              </w:rPr>
            </w:pPr>
            <w:r>
              <w:rPr>
                <w:rFonts w:ascii="Arial Narrow" w:hAnsi="Arial Narrow" w:cs="Arial"/>
                <w:sz w:val="20"/>
                <w:szCs w:val="20"/>
                <w:lang w:eastAsia="es-PE"/>
              </w:rPr>
              <w:t>No</w:t>
            </w:r>
            <w:r>
              <w:rPr>
                <w:rFonts w:ascii="Arial Narrow" w:hAnsi="Arial Narrow" w:cs="Arial"/>
                <w:sz w:val="20"/>
                <w:szCs w:val="20"/>
              </w:rPr>
              <w:t xml:space="preserve"> entregar dentro del plazo establecido la información solicitada por la DGJCMT </w:t>
            </w:r>
            <w:r w:rsidRPr="00522A9E">
              <w:rPr>
                <w:rFonts w:ascii="Arial Narrow" w:hAnsi="Arial Narrow" w:cs="Arial"/>
                <w:sz w:val="20"/>
                <w:szCs w:val="20"/>
              </w:rPr>
              <w:t>y/o la UIF - Perú.</w:t>
            </w:r>
          </w:p>
        </w:tc>
        <w:tc>
          <w:tcPr>
            <w:tcW w:w="1225" w:type="dxa"/>
            <w:shd w:val="clear" w:color="auto" w:fill="auto"/>
          </w:tcPr>
          <w:p w:rsidR="00625F36" w:rsidRPr="00522A9E" w:rsidRDefault="00625F36" w:rsidP="00625F36">
            <w:pPr>
              <w:tabs>
                <w:tab w:val="left" w:pos="-108"/>
                <w:tab w:val="center" w:pos="388"/>
              </w:tabs>
              <w:jc w:val="center"/>
              <w:rPr>
                <w:rFonts w:ascii="Arial Narrow" w:hAnsi="Arial Narrow" w:cs="Arial"/>
                <w:sz w:val="20"/>
                <w:szCs w:val="20"/>
              </w:rPr>
            </w:pPr>
            <w:r w:rsidRPr="00D82A14">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10 UIT</w:t>
            </w:r>
          </w:p>
        </w:tc>
      </w:tr>
      <w:tr w:rsidR="00625F36" w:rsidRPr="00522A9E" w:rsidTr="00625F36">
        <w:trPr>
          <w:trHeight w:val="774"/>
        </w:trPr>
        <w:tc>
          <w:tcPr>
            <w:tcW w:w="960" w:type="dxa"/>
          </w:tcPr>
          <w:p w:rsidR="00625F36" w:rsidRPr="00BB1C45" w:rsidRDefault="00625F36" w:rsidP="00625F36">
            <w:pPr>
              <w:keepNext/>
              <w:keepLines/>
              <w:numPr>
                <w:ilvl w:val="0"/>
                <w:numId w:val="4"/>
              </w:numPr>
              <w:spacing w:before="480" w:after="0" w:line="240" w:lineRule="auto"/>
              <w:jc w:val="center"/>
              <w:outlineLvl w:val="0"/>
              <w:rPr>
                <w:rFonts w:ascii="Arial Narrow" w:hAnsi="Arial Narrow" w:cs="Arial"/>
                <w:color w:val="FF0000"/>
                <w:sz w:val="20"/>
                <w:szCs w:val="20"/>
              </w:rPr>
            </w:pPr>
          </w:p>
        </w:tc>
        <w:tc>
          <w:tcPr>
            <w:tcW w:w="8800" w:type="dxa"/>
          </w:tcPr>
          <w:p w:rsidR="00625F36" w:rsidRPr="00522A9E" w:rsidRDefault="00625F36" w:rsidP="0016794A">
            <w:pPr>
              <w:jc w:val="both"/>
              <w:rPr>
                <w:rFonts w:ascii="Arial Narrow" w:hAnsi="Arial Narrow" w:cs="Arial"/>
                <w:color w:val="FF0000"/>
                <w:sz w:val="20"/>
                <w:szCs w:val="20"/>
                <w:lang w:eastAsia="es-PE"/>
              </w:rPr>
            </w:pPr>
            <w:r>
              <w:rPr>
                <w:rFonts w:ascii="Arial Narrow" w:hAnsi="Arial Narrow" w:cs="Arial"/>
                <w:sz w:val="20"/>
                <w:szCs w:val="20"/>
                <w:lang w:eastAsia="es-PE"/>
              </w:rPr>
              <w:t>No brindar a la DGJCMT las facilidades necesarias para el inicio y/o desarrollo de las visitas de supervisión o de cualquier otro procedimiento de control u obstaculizar tales acciones.</w:t>
            </w:r>
          </w:p>
        </w:tc>
        <w:tc>
          <w:tcPr>
            <w:tcW w:w="1225" w:type="dxa"/>
            <w:shd w:val="clear" w:color="auto" w:fill="auto"/>
          </w:tcPr>
          <w:p w:rsidR="00625F36" w:rsidRPr="00522A9E" w:rsidRDefault="00625F36" w:rsidP="00625F36">
            <w:pPr>
              <w:jc w:val="center"/>
              <w:rPr>
                <w:rFonts w:ascii="Arial Narrow" w:hAnsi="Arial Narrow" w:cs="Arial"/>
                <w:color w:val="FF0000"/>
                <w:sz w:val="20"/>
                <w:szCs w:val="20"/>
              </w:rPr>
            </w:pPr>
            <w:r>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20 UIT</w:t>
            </w:r>
          </w:p>
        </w:tc>
      </w:tr>
    </w:tbl>
    <w:p w:rsidR="00625F36" w:rsidRDefault="00625F36" w:rsidP="00625F36">
      <w:pPr>
        <w:jc w:val="both"/>
        <w:rPr>
          <w:rFonts w:ascii="Arial Narrow" w:hAnsi="Arial Narrow" w:cs="Arial"/>
          <w:b/>
          <w:sz w:val="20"/>
          <w:szCs w:val="20"/>
        </w:rPr>
      </w:pPr>
    </w:p>
    <w:p w:rsidR="00625F36" w:rsidRPr="00522A9E" w:rsidRDefault="00625F36" w:rsidP="00625F36">
      <w:pPr>
        <w:jc w:val="both"/>
        <w:rPr>
          <w:rFonts w:ascii="Arial Narrow" w:hAnsi="Arial Narrow" w:cs="Arial"/>
          <w:b/>
          <w:sz w:val="20"/>
          <w:szCs w:val="20"/>
        </w:rPr>
      </w:pPr>
      <w:r>
        <w:rPr>
          <w:rFonts w:ascii="Arial Narrow" w:hAnsi="Arial Narrow" w:cs="Arial"/>
          <w:b/>
          <w:sz w:val="20"/>
          <w:szCs w:val="20"/>
        </w:rPr>
        <w:lastRenderedPageBreak/>
        <w:t>Con relación a las auditorías</w:t>
      </w:r>
      <w:r w:rsidRPr="00522A9E">
        <w:rPr>
          <w:rFonts w:ascii="Arial Narrow" w:hAnsi="Arial Narrow"/>
          <w:b/>
          <w:sz w:val="20"/>
          <w:szCs w:val="20"/>
        </w:rPr>
        <w:t xml:space="preserve"> en materia de prevención de LA/FT</w:t>
      </w:r>
    </w:p>
    <w:tbl>
      <w:tblPr>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8704"/>
        <w:gridCol w:w="1211"/>
      </w:tblGrid>
      <w:tr w:rsidR="00625F36" w:rsidRPr="00614E1A" w:rsidTr="00625F36">
        <w:trPr>
          <w:trHeight w:val="376"/>
        </w:trPr>
        <w:tc>
          <w:tcPr>
            <w:tcW w:w="950" w:type="dxa"/>
            <w:shd w:val="clear" w:color="auto" w:fill="F2F2F2" w:themeFill="background1" w:themeFillShade="F2"/>
          </w:tcPr>
          <w:p w:rsidR="00625F36" w:rsidRPr="00EE3762" w:rsidRDefault="00625F36" w:rsidP="0016794A">
            <w:pPr>
              <w:jc w:val="center"/>
              <w:rPr>
                <w:rFonts w:ascii="Arial Narrow" w:hAnsi="Arial Narrow" w:cs="Arial"/>
                <w:b/>
                <w:sz w:val="20"/>
                <w:szCs w:val="20"/>
              </w:rPr>
            </w:pPr>
            <w:r w:rsidRPr="00D82A14">
              <w:rPr>
                <w:rFonts w:ascii="Arial Narrow" w:hAnsi="Arial Narrow" w:cs="Arial"/>
                <w:b/>
                <w:sz w:val="20"/>
                <w:szCs w:val="20"/>
              </w:rPr>
              <w:t>#</w:t>
            </w:r>
          </w:p>
        </w:tc>
        <w:tc>
          <w:tcPr>
            <w:tcW w:w="8704" w:type="dxa"/>
            <w:shd w:val="clear" w:color="auto" w:fill="F2F2F2" w:themeFill="background1" w:themeFillShade="F2"/>
          </w:tcPr>
          <w:p w:rsidR="00625F36" w:rsidRPr="00522A9E" w:rsidRDefault="00625F36" w:rsidP="0016794A">
            <w:pPr>
              <w:pStyle w:val="Prrafodelista"/>
              <w:ind w:left="33"/>
              <w:jc w:val="both"/>
              <w:rPr>
                <w:rFonts w:eastAsia="Calibri" w:cs="Arial"/>
                <w:b/>
                <w:sz w:val="20"/>
                <w:szCs w:val="20"/>
              </w:rPr>
            </w:pPr>
            <w:r w:rsidRPr="00BB1C45">
              <w:rPr>
                <w:rFonts w:eastAsia="Calibri" w:cs="Arial"/>
                <w:b/>
                <w:sz w:val="20"/>
                <w:szCs w:val="20"/>
              </w:rPr>
              <w:t xml:space="preserve">INFRACCIÓN </w:t>
            </w:r>
          </w:p>
        </w:tc>
        <w:tc>
          <w:tcPr>
            <w:tcW w:w="1211" w:type="dxa"/>
            <w:shd w:val="clear" w:color="auto" w:fill="F2F2F2" w:themeFill="background1" w:themeFillShade="F2"/>
          </w:tcPr>
          <w:p w:rsidR="00625F36" w:rsidRPr="00614E1A" w:rsidRDefault="00625F36" w:rsidP="0016794A">
            <w:pPr>
              <w:jc w:val="center"/>
              <w:rPr>
                <w:rFonts w:ascii="Arial Narrow" w:hAnsi="Arial Narrow" w:cs="Arial"/>
                <w:b/>
                <w:sz w:val="20"/>
                <w:szCs w:val="20"/>
              </w:rPr>
            </w:pPr>
            <w:r>
              <w:rPr>
                <w:rFonts w:ascii="Arial Narrow" w:hAnsi="Arial Narrow" w:cs="Arial"/>
                <w:b/>
                <w:sz w:val="20"/>
                <w:szCs w:val="20"/>
              </w:rPr>
              <w:t>SANCIÓN</w:t>
            </w:r>
          </w:p>
        </w:tc>
      </w:tr>
      <w:tr w:rsidR="00625F36" w:rsidRPr="00665C4E" w:rsidTr="009816DD">
        <w:trPr>
          <w:trHeight w:val="414"/>
        </w:trPr>
        <w:tc>
          <w:tcPr>
            <w:tcW w:w="950" w:type="dxa"/>
          </w:tcPr>
          <w:p w:rsidR="00625F36" w:rsidRPr="00665C4E" w:rsidRDefault="00625F36" w:rsidP="0016794A">
            <w:pPr>
              <w:tabs>
                <w:tab w:val="left" w:pos="426"/>
              </w:tabs>
              <w:jc w:val="center"/>
              <w:rPr>
                <w:rFonts w:ascii="Arial Narrow" w:hAnsi="Arial Narrow" w:cs="Arial"/>
                <w:sz w:val="20"/>
                <w:szCs w:val="20"/>
              </w:rPr>
            </w:pPr>
            <w:r>
              <w:rPr>
                <w:rFonts w:ascii="Arial Narrow" w:hAnsi="Arial Narrow" w:cs="Arial"/>
                <w:sz w:val="20"/>
                <w:szCs w:val="20"/>
              </w:rPr>
              <w:t>4</w:t>
            </w:r>
          </w:p>
        </w:tc>
        <w:tc>
          <w:tcPr>
            <w:tcW w:w="8704" w:type="dxa"/>
          </w:tcPr>
          <w:p w:rsidR="00625F36" w:rsidRPr="00665C4E" w:rsidRDefault="00625F36" w:rsidP="0016794A">
            <w:pPr>
              <w:jc w:val="both"/>
              <w:rPr>
                <w:rFonts w:ascii="Arial Narrow" w:hAnsi="Arial Narrow" w:cs="Arial"/>
                <w:sz w:val="20"/>
                <w:szCs w:val="20"/>
                <w:lang w:eastAsia="es-PE"/>
              </w:rPr>
            </w:pPr>
            <w:r w:rsidRPr="00665C4E">
              <w:rPr>
                <w:rFonts w:ascii="Arial Narrow" w:hAnsi="Arial Narrow" w:cs="Arial"/>
                <w:sz w:val="20"/>
                <w:szCs w:val="20"/>
                <w:lang w:eastAsia="es-PE"/>
              </w:rPr>
              <w:t xml:space="preserve">No contar con un </w:t>
            </w:r>
            <w:r>
              <w:rPr>
                <w:rFonts w:ascii="Arial Narrow" w:hAnsi="Arial Narrow" w:cs="Arial"/>
                <w:sz w:val="20"/>
                <w:szCs w:val="20"/>
                <w:lang w:eastAsia="es-PE"/>
              </w:rPr>
              <w:t>p</w:t>
            </w:r>
            <w:r w:rsidRPr="00665C4E">
              <w:rPr>
                <w:rFonts w:ascii="Arial Narrow" w:hAnsi="Arial Narrow" w:cs="Arial"/>
                <w:sz w:val="20"/>
                <w:szCs w:val="20"/>
                <w:lang w:eastAsia="es-PE"/>
              </w:rPr>
              <w:t xml:space="preserve">lan </w:t>
            </w:r>
            <w:r>
              <w:rPr>
                <w:rFonts w:ascii="Arial Narrow" w:hAnsi="Arial Narrow" w:cs="Arial"/>
                <w:sz w:val="20"/>
                <w:szCs w:val="20"/>
                <w:lang w:eastAsia="es-PE"/>
              </w:rPr>
              <w:t>a</w:t>
            </w:r>
            <w:r w:rsidRPr="00665C4E">
              <w:rPr>
                <w:rFonts w:ascii="Arial Narrow" w:hAnsi="Arial Narrow" w:cs="Arial"/>
                <w:sz w:val="20"/>
                <w:szCs w:val="20"/>
                <w:lang w:eastAsia="es-PE"/>
              </w:rPr>
              <w:t xml:space="preserve">nual de </w:t>
            </w:r>
            <w:r>
              <w:rPr>
                <w:rFonts w:ascii="Arial Narrow" w:hAnsi="Arial Narrow" w:cs="Arial"/>
                <w:sz w:val="20"/>
                <w:szCs w:val="20"/>
                <w:lang w:eastAsia="es-PE"/>
              </w:rPr>
              <w:t>t</w:t>
            </w:r>
            <w:r w:rsidRPr="00665C4E">
              <w:rPr>
                <w:rFonts w:ascii="Arial Narrow" w:hAnsi="Arial Narrow" w:cs="Arial"/>
                <w:sz w:val="20"/>
                <w:szCs w:val="20"/>
                <w:lang w:eastAsia="es-PE"/>
              </w:rPr>
              <w:t xml:space="preserve">rabajo de </w:t>
            </w:r>
            <w:r>
              <w:rPr>
                <w:rFonts w:ascii="Arial Narrow" w:hAnsi="Arial Narrow" w:cs="Arial"/>
                <w:sz w:val="20"/>
                <w:szCs w:val="20"/>
                <w:lang w:eastAsia="es-PE"/>
              </w:rPr>
              <w:t>a</w:t>
            </w:r>
            <w:r w:rsidRPr="00665C4E">
              <w:rPr>
                <w:rFonts w:ascii="Arial Narrow" w:hAnsi="Arial Narrow" w:cs="Arial"/>
                <w:sz w:val="20"/>
                <w:szCs w:val="20"/>
                <w:lang w:eastAsia="es-PE"/>
              </w:rPr>
              <w:t>uditoría</w:t>
            </w:r>
            <w:r>
              <w:rPr>
                <w:rFonts w:ascii="Arial Narrow" w:hAnsi="Arial Narrow" w:cs="Arial"/>
                <w:sz w:val="20"/>
                <w:szCs w:val="20"/>
                <w:lang w:eastAsia="es-PE"/>
              </w:rPr>
              <w:t xml:space="preserve"> de acuerdo con la normativa vigente.</w:t>
            </w:r>
          </w:p>
        </w:tc>
        <w:tc>
          <w:tcPr>
            <w:tcW w:w="1211" w:type="dxa"/>
            <w:shd w:val="clear" w:color="auto" w:fill="auto"/>
          </w:tcPr>
          <w:p w:rsidR="00625F36" w:rsidRDefault="00625F36" w:rsidP="00625F36">
            <w:pPr>
              <w:jc w:val="center"/>
              <w:rPr>
                <w:rFonts w:ascii="Arial Narrow" w:hAnsi="Arial Narrow" w:cs="Arial"/>
                <w:sz w:val="20"/>
                <w:szCs w:val="20"/>
              </w:rPr>
            </w:pPr>
            <w:r>
              <w:rPr>
                <w:rFonts w:ascii="Arial Narrow" w:hAnsi="Arial Narrow" w:cs="Arial"/>
                <w:sz w:val="20"/>
                <w:szCs w:val="20"/>
              </w:rPr>
              <w:t>Multa 10 UIT</w:t>
            </w:r>
          </w:p>
        </w:tc>
      </w:tr>
      <w:tr w:rsidR="00625F36" w:rsidRPr="00665C4E" w:rsidTr="009816DD">
        <w:trPr>
          <w:trHeight w:val="519"/>
        </w:trPr>
        <w:tc>
          <w:tcPr>
            <w:tcW w:w="950" w:type="dxa"/>
          </w:tcPr>
          <w:p w:rsidR="00625F36" w:rsidRPr="00665C4E" w:rsidRDefault="00625F36" w:rsidP="0016794A">
            <w:pPr>
              <w:tabs>
                <w:tab w:val="left" w:pos="426"/>
              </w:tabs>
              <w:jc w:val="center"/>
              <w:rPr>
                <w:rFonts w:ascii="Arial Narrow" w:hAnsi="Arial Narrow" w:cs="Arial"/>
                <w:sz w:val="20"/>
                <w:szCs w:val="20"/>
              </w:rPr>
            </w:pPr>
            <w:r>
              <w:rPr>
                <w:rFonts w:ascii="Arial Narrow" w:hAnsi="Arial Narrow" w:cs="Arial"/>
                <w:sz w:val="20"/>
                <w:szCs w:val="20"/>
              </w:rPr>
              <w:t>5</w:t>
            </w:r>
          </w:p>
        </w:tc>
        <w:tc>
          <w:tcPr>
            <w:tcW w:w="8704" w:type="dxa"/>
          </w:tcPr>
          <w:p w:rsidR="00625F36" w:rsidRPr="00CD7693"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subsanar las observaciones </w:t>
            </w:r>
            <w:r>
              <w:rPr>
                <w:rFonts w:ascii="Arial Narrow" w:hAnsi="Arial Narrow" w:cs="Arial"/>
                <w:sz w:val="20"/>
                <w:szCs w:val="20"/>
              </w:rPr>
              <w:t xml:space="preserve">o implementar las recomendaciones </w:t>
            </w:r>
            <w:r w:rsidRPr="00665C4E">
              <w:rPr>
                <w:rFonts w:ascii="Arial Narrow" w:hAnsi="Arial Narrow" w:cs="Arial"/>
                <w:sz w:val="20"/>
                <w:szCs w:val="20"/>
              </w:rPr>
              <w:t xml:space="preserve">realizadas por </w:t>
            </w:r>
            <w:r>
              <w:rPr>
                <w:rFonts w:ascii="Arial Narrow" w:hAnsi="Arial Narrow" w:cs="Arial"/>
                <w:sz w:val="20"/>
                <w:szCs w:val="20"/>
              </w:rPr>
              <w:t>el auditor interno o externo, de ser el caso.</w:t>
            </w:r>
          </w:p>
        </w:tc>
        <w:tc>
          <w:tcPr>
            <w:tcW w:w="1211" w:type="dxa"/>
            <w:shd w:val="clear" w:color="auto" w:fill="auto"/>
          </w:tcPr>
          <w:p w:rsidR="00625F36" w:rsidRPr="00665C4E" w:rsidRDefault="00625F36" w:rsidP="00625F36">
            <w:pPr>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12 UIT</w:t>
            </w:r>
          </w:p>
        </w:tc>
      </w:tr>
    </w:tbl>
    <w:p w:rsidR="00625F36" w:rsidRDefault="00625F36" w:rsidP="00625F36">
      <w:pPr>
        <w:jc w:val="both"/>
        <w:rPr>
          <w:rFonts w:ascii="Arial Narrow" w:hAnsi="Arial Narrow" w:cs="Arial"/>
          <w:b/>
          <w:sz w:val="20"/>
          <w:szCs w:val="20"/>
        </w:rPr>
      </w:pPr>
    </w:p>
    <w:p w:rsidR="00625F36" w:rsidRPr="00665C4E" w:rsidRDefault="00625F36" w:rsidP="00625F36">
      <w:pPr>
        <w:jc w:val="both"/>
        <w:rPr>
          <w:rFonts w:ascii="Arial Narrow" w:hAnsi="Arial Narrow" w:cs="Arial"/>
          <w:b/>
          <w:sz w:val="20"/>
          <w:szCs w:val="20"/>
        </w:rPr>
      </w:pPr>
      <w:r w:rsidRPr="00665C4E">
        <w:rPr>
          <w:rFonts w:ascii="Arial Narrow" w:hAnsi="Arial Narrow" w:cs="Arial"/>
          <w:b/>
          <w:sz w:val="20"/>
          <w:szCs w:val="20"/>
        </w:rPr>
        <w:t xml:space="preserve">Con relación al registro de operaciones y </w:t>
      </w:r>
      <w:r>
        <w:rPr>
          <w:rFonts w:ascii="Arial Narrow" w:hAnsi="Arial Narrow" w:cs="Arial"/>
          <w:b/>
          <w:sz w:val="20"/>
          <w:szCs w:val="20"/>
        </w:rPr>
        <w:t>r</w:t>
      </w:r>
      <w:r w:rsidRPr="00665C4E">
        <w:rPr>
          <w:rFonts w:ascii="Arial Narrow" w:hAnsi="Arial Narrow" w:cs="Arial"/>
          <w:b/>
          <w:sz w:val="20"/>
          <w:szCs w:val="20"/>
        </w:rPr>
        <w:t xml:space="preserve">eporte de </w:t>
      </w:r>
      <w:r>
        <w:rPr>
          <w:rFonts w:ascii="Arial Narrow" w:hAnsi="Arial Narrow" w:cs="Arial"/>
          <w:b/>
          <w:sz w:val="20"/>
          <w:szCs w:val="20"/>
        </w:rPr>
        <w:t>o</w:t>
      </w:r>
      <w:r w:rsidRPr="00665C4E">
        <w:rPr>
          <w:rFonts w:ascii="Arial Narrow" w:hAnsi="Arial Narrow" w:cs="Arial"/>
          <w:b/>
          <w:sz w:val="20"/>
          <w:szCs w:val="20"/>
        </w:rPr>
        <w:t xml:space="preserve">peraciones </w:t>
      </w:r>
      <w:r>
        <w:rPr>
          <w:rFonts w:ascii="Arial Narrow" w:hAnsi="Arial Narrow" w:cs="Arial"/>
          <w:b/>
          <w:sz w:val="20"/>
          <w:szCs w:val="20"/>
        </w:rPr>
        <w:t>s</w:t>
      </w:r>
      <w:r w:rsidRPr="00665C4E">
        <w:rPr>
          <w:rFonts w:ascii="Arial Narrow" w:hAnsi="Arial Narrow" w:cs="Arial"/>
          <w:b/>
          <w:sz w:val="20"/>
          <w:szCs w:val="20"/>
        </w:rPr>
        <w:t>ospechosas</w:t>
      </w:r>
    </w:p>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2"/>
        <w:gridCol w:w="8752"/>
        <w:gridCol w:w="1225"/>
      </w:tblGrid>
      <w:tr w:rsidR="00625F36" w:rsidRPr="00665C4E" w:rsidTr="00625F36">
        <w:trPr>
          <w:trHeight w:val="431"/>
        </w:trPr>
        <w:tc>
          <w:tcPr>
            <w:tcW w:w="1009" w:type="dxa"/>
            <w:gridSpan w:val="2"/>
            <w:shd w:val="clear" w:color="auto" w:fill="F2F2F2" w:themeFill="background1" w:themeFillShade="F2"/>
          </w:tcPr>
          <w:p w:rsidR="00625F36" w:rsidRPr="001465B9" w:rsidRDefault="00625F36" w:rsidP="0016794A">
            <w:pPr>
              <w:jc w:val="center"/>
              <w:rPr>
                <w:rFonts w:ascii="Arial Narrow" w:hAnsi="Arial Narrow" w:cs="Arial"/>
                <w:b/>
                <w:sz w:val="20"/>
                <w:szCs w:val="20"/>
              </w:rPr>
            </w:pPr>
            <w:r w:rsidRPr="001465B9">
              <w:rPr>
                <w:rFonts w:ascii="Arial Narrow" w:hAnsi="Arial Narrow" w:cs="Arial"/>
                <w:b/>
                <w:sz w:val="20"/>
                <w:szCs w:val="20"/>
              </w:rPr>
              <w:t>#</w:t>
            </w:r>
          </w:p>
        </w:tc>
        <w:tc>
          <w:tcPr>
            <w:tcW w:w="8752" w:type="dxa"/>
            <w:shd w:val="clear" w:color="auto" w:fill="F2F2F2" w:themeFill="background1" w:themeFillShade="F2"/>
          </w:tcPr>
          <w:p w:rsidR="00625F36" w:rsidRPr="001465B9" w:rsidRDefault="00625F36" w:rsidP="0016794A">
            <w:pPr>
              <w:pStyle w:val="Prrafodelista"/>
              <w:ind w:left="33"/>
              <w:jc w:val="both"/>
              <w:rPr>
                <w:rFonts w:eastAsia="Calibri" w:cs="Arial"/>
                <w:b/>
                <w:sz w:val="20"/>
                <w:szCs w:val="20"/>
              </w:rPr>
            </w:pPr>
            <w:r w:rsidRPr="001465B9">
              <w:rPr>
                <w:rFonts w:eastAsia="Calibri" w:cs="Arial"/>
                <w:b/>
                <w:sz w:val="20"/>
                <w:szCs w:val="20"/>
              </w:rPr>
              <w:t xml:space="preserve">INFRACCIÓN </w:t>
            </w:r>
          </w:p>
        </w:tc>
        <w:tc>
          <w:tcPr>
            <w:tcW w:w="1225" w:type="dxa"/>
            <w:shd w:val="clear" w:color="auto" w:fill="F2F2F2" w:themeFill="background1" w:themeFillShade="F2"/>
          </w:tcPr>
          <w:p w:rsidR="00625F36" w:rsidRPr="001465B9" w:rsidRDefault="00625F36" w:rsidP="0016794A">
            <w:pPr>
              <w:jc w:val="center"/>
              <w:rPr>
                <w:rFonts w:ascii="Arial Narrow" w:hAnsi="Arial Narrow" w:cs="Arial"/>
                <w:b/>
                <w:sz w:val="20"/>
                <w:szCs w:val="20"/>
              </w:rPr>
            </w:pPr>
            <w:r w:rsidRPr="001465B9">
              <w:rPr>
                <w:rFonts w:ascii="Arial Narrow" w:hAnsi="Arial Narrow" w:cs="Arial"/>
                <w:b/>
                <w:sz w:val="20"/>
                <w:szCs w:val="20"/>
              </w:rPr>
              <w:t>SANCIÓN</w:t>
            </w:r>
          </w:p>
        </w:tc>
      </w:tr>
      <w:tr w:rsidR="00625F36" w:rsidRPr="00665C4E" w:rsidTr="00FF3CDF">
        <w:trPr>
          <w:trHeight w:val="585"/>
        </w:trPr>
        <w:tc>
          <w:tcPr>
            <w:tcW w:w="1009" w:type="dxa"/>
            <w:gridSpan w:val="2"/>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6</w:t>
            </w:r>
          </w:p>
        </w:tc>
        <w:tc>
          <w:tcPr>
            <w:tcW w:w="875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No incluir en</w:t>
            </w:r>
            <w:r>
              <w:rPr>
                <w:rFonts w:ascii="Arial Narrow" w:hAnsi="Arial Narrow" w:cs="Arial"/>
                <w:sz w:val="20"/>
                <w:szCs w:val="20"/>
              </w:rPr>
              <w:t xml:space="preserve"> el r</w:t>
            </w:r>
            <w:r w:rsidRPr="00665C4E">
              <w:rPr>
                <w:rFonts w:ascii="Arial Narrow" w:hAnsi="Arial Narrow" w:cs="Arial"/>
                <w:sz w:val="20"/>
                <w:szCs w:val="20"/>
              </w:rPr>
              <w:t xml:space="preserve">egistro de </w:t>
            </w:r>
            <w:r>
              <w:rPr>
                <w:rFonts w:ascii="Arial Narrow" w:hAnsi="Arial Narrow" w:cs="Arial"/>
                <w:sz w:val="20"/>
                <w:szCs w:val="20"/>
              </w:rPr>
              <w:t>o</w:t>
            </w:r>
            <w:r w:rsidRPr="00665C4E">
              <w:rPr>
                <w:rFonts w:ascii="Arial Narrow" w:hAnsi="Arial Narrow" w:cs="Arial"/>
                <w:sz w:val="20"/>
                <w:szCs w:val="20"/>
              </w:rPr>
              <w:t xml:space="preserve">peraciones la información mínima establecida en </w:t>
            </w:r>
            <w:r>
              <w:rPr>
                <w:rFonts w:ascii="Arial Narrow" w:hAnsi="Arial Narrow" w:cs="Arial"/>
                <w:sz w:val="20"/>
                <w:szCs w:val="20"/>
              </w:rPr>
              <w:t>el Anexo 2 de la Directiva 001-2009-MINCETUR/DM.</w:t>
            </w:r>
          </w:p>
        </w:tc>
        <w:tc>
          <w:tcPr>
            <w:tcW w:w="1225" w:type="dxa"/>
            <w:shd w:val="clear" w:color="auto" w:fill="auto"/>
          </w:tcPr>
          <w:p w:rsidR="00625F36" w:rsidRPr="00665C4E" w:rsidRDefault="00625F36" w:rsidP="00625F36">
            <w:pPr>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6 UIT</w:t>
            </w:r>
          </w:p>
        </w:tc>
      </w:tr>
      <w:tr w:rsidR="00625F36" w:rsidRPr="00665C4E" w:rsidTr="00FF3CDF">
        <w:trPr>
          <w:trHeight w:val="469"/>
        </w:trPr>
        <w:tc>
          <w:tcPr>
            <w:tcW w:w="1009" w:type="dxa"/>
            <w:gridSpan w:val="2"/>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7</w:t>
            </w:r>
          </w:p>
        </w:tc>
        <w:tc>
          <w:tcPr>
            <w:tcW w:w="875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No registrar las operaciones</w:t>
            </w:r>
            <w:r>
              <w:rPr>
                <w:rFonts w:ascii="Arial Narrow" w:hAnsi="Arial Narrow" w:cs="Arial"/>
                <w:sz w:val="20"/>
                <w:szCs w:val="20"/>
              </w:rPr>
              <w:t xml:space="preserve"> a que se refiere el Numeral 12.1 del artículo 12° de la Directiva 001-2009-MINCETUR/DM en el registro de operaciones.</w:t>
            </w:r>
          </w:p>
        </w:tc>
        <w:tc>
          <w:tcPr>
            <w:tcW w:w="1225" w:type="dxa"/>
            <w:shd w:val="clear" w:color="auto" w:fill="auto"/>
          </w:tcPr>
          <w:p w:rsidR="00625F36" w:rsidRPr="00665C4E" w:rsidRDefault="00625F36" w:rsidP="00625F36">
            <w:pPr>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8 UIT</w:t>
            </w:r>
          </w:p>
        </w:tc>
      </w:tr>
      <w:tr w:rsidR="00625F36" w:rsidRPr="00665C4E" w:rsidTr="00FF3CDF">
        <w:trPr>
          <w:trHeight w:val="482"/>
        </w:trPr>
        <w:tc>
          <w:tcPr>
            <w:tcW w:w="1009" w:type="dxa"/>
            <w:gridSpan w:val="2"/>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8</w:t>
            </w:r>
            <w:r w:rsidRPr="00665C4E">
              <w:rPr>
                <w:rFonts w:ascii="Arial Narrow" w:hAnsi="Arial Narrow" w:cs="Arial"/>
                <w:sz w:val="20"/>
                <w:szCs w:val="20"/>
              </w:rPr>
              <w:t>.</w:t>
            </w:r>
          </w:p>
        </w:tc>
        <w:tc>
          <w:tcPr>
            <w:tcW w:w="8752" w:type="dxa"/>
          </w:tcPr>
          <w:p w:rsidR="00625F36" w:rsidRPr="00665C4E" w:rsidRDefault="00625F36" w:rsidP="0016794A">
            <w:pPr>
              <w:jc w:val="both"/>
              <w:rPr>
                <w:rFonts w:ascii="Arial Narrow" w:hAnsi="Arial Narrow" w:cs="Arial"/>
                <w:sz w:val="20"/>
                <w:szCs w:val="20"/>
              </w:rPr>
            </w:pPr>
            <w:r>
              <w:rPr>
                <w:rFonts w:ascii="Arial Narrow" w:hAnsi="Arial Narrow" w:cs="Arial"/>
                <w:sz w:val="20"/>
                <w:szCs w:val="20"/>
              </w:rPr>
              <w:t xml:space="preserve">Incumplir </w:t>
            </w:r>
            <w:r w:rsidRPr="00665C4E">
              <w:rPr>
                <w:rFonts w:ascii="Arial Narrow" w:hAnsi="Arial Narrow" w:cs="Arial"/>
                <w:sz w:val="20"/>
                <w:szCs w:val="20"/>
              </w:rPr>
              <w:t xml:space="preserve">los procedimientos </w:t>
            </w:r>
            <w:r>
              <w:rPr>
                <w:rFonts w:ascii="Arial Narrow" w:hAnsi="Arial Narrow" w:cs="Arial"/>
                <w:sz w:val="20"/>
                <w:szCs w:val="20"/>
              </w:rPr>
              <w:t xml:space="preserve">establecidos </w:t>
            </w:r>
            <w:r w:rsidRPr="00665C4E">
              <w:rPr>
                <w:rFonts w:ascii="Arial Narrow" w:hAnsi="Arial Narrow" w:cs="Arial"/>
                <w:sz w:val="20"/>
                <w:szCs w:val="20"/>
              </w:rPr>
              <w:t xml:space="preserve">en </w:t>
            </w:r>
            <w:r>
              <w:rPr>
                <w:rFonts w:ascii="Arial Narrow" w:hAnsi="Arial Narrow" w:cs="Arial"/>
                <w:sz w:val="20"/>
                <w:szCs w:val="20"/>
              </w:rPr>
              <w:t>el manual para la prevención</w:t>
            </w:r>
            <w:r w:rsidRPr="00665C4E">
              <w:rPr>
                <w:rFonts w:ascii="Arial Narrow" w:hAnsi="Arial Narrow" w:cs="Arial"/>
                <w:sz w:val="20"/>
                <w:szCs w:val="20"/>
              </w:rPr>
              <w:t xml:space="preserve"> del lavado de activos y </w:t>
            </w:r>
            <w:r>
              <w:rPr>
                <w:rFonts w:ascii="Arial Narrow" w:hAnsi="Arial Narrow" w:cs="Arial"/>
                <w:sz w:val="20"/>
                <w:szCs w:val="20"/>
              </w:rPr>
              <w:t xml:space="preserve">del </w:t>
            </w:r>
            <w:r w:rsidRPr="00665C4E">
              <w:rPr>
                <w:rFonts w:ascii="Arial Narrow" w:hAnsi="Arial Narrow" w:cs="Arial"/>
                <w:sz w:val="20"/>
                <w:szCs w:val="20"/>
              </w:rPr>
              <w:t xml:space="preserve">financiamiento del terrorismo </w:t>
            </w:r>
            <w:r>
              <w:rPr>
                <w:rFonts w:ascii="Arial Narrow" w:hAnsi="Arial Narrow" w:cs="Arial"/>
                <w:sz w:val="20"/>
                <w:szCs w:val="20"/>
              </w:rPr>
              <w:t>respecto al registro de operaciones o detección de operaciones inusuales o sospechosas.</w:t>
            </w:r>
          </w:p>
        </w:tc>
        <w:tc>
          <w:tcPr>
            <w:tcW w:w="1225" w:type="dxa"/>
            <w:shd w:val="clear" w:color="auto" w:fill="auto"/>
          </w:tcPr>
          <w:p w:rsidR="00625F36" w:rsidRPr="00665C4E" w:rsidRDefault="00625F36" w:rsidP="00625F36">
            <w:pPr>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sidRPr="00665C4E">
              <w:rPr>
                <w:rFonts w:ascii="Arial Narrow" w:hAnsi="Arial Narrow" w:cs="Arial"/>
                <w:sz w:val="20"/>
                <w:szCs w:val="20"/>
              </w:rPr>
              <w:t>1</w:t>
            </w:r>
            <w:r>
              <w:rPr>
                <w:rFonts w:ascii="Arial Narrow" w:hAnsi="Arial Narrow" w:cs="Arial"/>
                <w:sz w:val="20"/>
                <w:szCs w:val="20"/>
              </w:rPr>
              <w:t>0 UIT</w:t>
            </w:r>
          </w:p>
        </w:tc>
      </w:tr>
      <w:tr w:rsidR="00625F36" w:rsidRPr="00665C4E" w:rsidTr="00FF3CDF">
        <w:trPr>
          <w:trHeight w:val="309"/>
        </w:trPr>
        <w:tc>
          <w:tcPr>
            <w:tcW w:w="1009" w:type="dxa"/>
            <w:gridSpan w:val="2"/>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9</w:t>
            </w:r>
          </w:p>
        </w:tc>
        <w:tc>
          <w:tcPr>
            <w:tcW w:w="875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poner a disposición y/o remitir el </w:t>
            </w:r>
            <w:r>
              <w:rPr>
                <w:rFonts w:ascii="Arial Narrow" w:hAnsi="Arial Narrow" w:cs="Arial"/>
                <w:sz w:val="20"/>
                <w:szCs w:val="20"/>
              </w:rPr>
              <w:t>r</w:t>
            </w:r>
            <w:r w:rsidRPr="00665C4E">
              <w:rPr>
                <w:rFonts w:ascii="Arial Narrow" w:hAnsi="Arial Narrow" w:cs="Arial"/>
                <w:sz w:val="20"/>
                <w:szCs w:val="20"/>
              </w:rPr>
              <w:t xml:space="preserve">egistro de </w:t>
            </w:r>
            <w:r>
              <w:rPr>
                <w:rFonts w:ascii="Arial Narrow" w:hAnsi="Arial Narrow" w:cs="Arial"/>
                <w:sz w:val="20"/>
                <w:szCs w:val="20"/>
              </w:rPr>
              <w:t xml:space="preserve">operaciones a </w:t>
            </w:r>
            <w:r w:rsidRPr="00665C4E">
              <w:rPr>
                <w:rFonts w:ascii="Arial Narrow" w:hAnsi="Arial Narrow" w:cs="Arial"/>
                <w:sz w:val="20"/>
                <w:szCs w:val="20"/>
              </w:rPr>
              <w:t xml:space="preserve">la UIF-Perú cuando </w:t>
            </w:r>
            <w:r>
              <w:rPr>
                <w:rFonts w:ascii="Arial Narrow" w:hAnsi="Arial Narrow" w:cs="Arial"/>
                <w:sz w:val="20"/>
                <w:szCs w:val="20"/>
              </w:rPr>
              <w:t>e</w:t>
            </w:r>
            <w:r w:rsidRPr="00665C4E">
              <w:rPr>
                <w:rFonts w:ascii="Arial Narrow" w:hAnsi="Arial Narrow" w:cs="Arial"/>
                <w:sz w:val="20"/>
                <w:szCs w:val="20"/>
              </w:rPr>
              <w:t>sta lo requiera.</w:t>
            </w:r>
          </w:p>
        </w:tc>
        <w:tc>
          <w:tcPr>
            <w:tcW w:w="1225" w:type="dxa"/>
            <w:shd w:val="clear" w:color="auto" w:fill="auto"/>
          </w:tcPr>
          <w:p w:rsidR="00625F36" w:rsidRPr="00665C4E" w:rsidRDefault="00625F36" w:rsidP="00625F36">
            <w:pPr>
              <w:tabs>
                <w:tab w:val="left" w:pos="-108"/>
                <w:tab w:val="center" w:pos="388"/>
              </w:tabs>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sidRPr="00665C4E">
              <w:rPr>
                <w:rFonts w:ascii="Arial Narrow" w:hAnsi="Arial Narrow" w:cs="Arial"/>
                <w:sz w:val="20"/>
                <w:szCs w:val="20"/>
              </w:rPr>
              <w:t>10</w:t>
            </w:r>
            <w:r>
              <w:rPr>
                <w:rFonts w:ascii="Arial Narrow" w:hAnsi="Arial Narrow" w:cs="Arial"/>
                <w:sz w:val="20"/>
                <w:szCs w:val="20"/>
              </w:rPr>
              <w:t xml:space="preserve"> UIT</w:t>
            </w:r>
          </w:p>
        </w:tc>
      </w:tr>
      <w:tr w:rsidR="00625F36" w:rsidRPr="00665C4E" w:rsidTr="00FF3CDF">
        <w:trPr>
          <w:trHeight w:val="450"/>
        </w:trPr>
        <w:tc>
          <w:tcPr>
            <w:tcW w:w="1009" w:type="dxa"/>
            <w:gridSpan w:val="2"/>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10</w:t>
            </w:r>
            <w:r w:rsidRPr="00665C4E">
              <w:rPr>
                <w:rFonts w:ascii="Arial Narrow" w:hAnsi="Arial Narrow" w:cs="Arial"/>
                <w:sz w:val="20"/>
                <w:szCs w:val="20"/>
              </w:rPr>
              <w:t>.</w:t>
            </w:r>
          </w:p>
        </w:tc>
        <w:tc>
          <w:tcPr>
            <w:tcW w:w="875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contar con copia de seguridad del </w:t>
            </w:r>
            <w:r>
              <w:rPr>
                <w:rFonts w:ascii="Arial Narrow" w:hAnsi="Arial Narrow" w:cs="Arial"/>
                <w:sz w:val="20"/>
                <w:szCs w:val="20"/>
              </w:rPr>
              <w:t>r</w:t>
            </w:r>
            <w:r w:rsidRPr="00665C4E">
              <w:rPr>
                <w:rFonts w:ascii="Arial Narrow" w:hAnsi="Arial Narrow" w:cs="Arial"/>
                <w:sz w:val="20"/>
                <w:szCs w:val="20"/>
              </w:rPr>
              <w:t xml:space="preserve">egistro de </w:t>
            </w:r>
            <w:r>
              <w:rPr>
                <w:rFonts w:ascii="Arial Narrow" w:hAnsi="Arial Narrow" w:cs="Arial"/>
                <w:sz w:val="20"/>
                <w:szCs w:val="20"/>
              </w:rPr>
              <w:t>o</w:t>
            </w:r>
            <w:r w:rsidRPr="00665C4E">
              <w:rPr>
                <w:rFonts w:ascii="Arial Narrow" w:hAnsi="Arial Narrow" w:cs="Arial"/>
                <w:sz w:val="20"/>
                <w:szCs w:val="20"/>
              </w:rPr>
              <w:t>peraciones.</w:t>
            </w:r>
          </w:p>
        </w:tc>
        <w:tc>
          <w:tcPr>
            <w:tcW w:w="1225" w:type="dxa"/>
            <w:shd w:val="clear" w:color="auto" w:fill="auto"/>
          </w:tcPr>
          <w:p w:rsidR="00625F36" w:rsidRPr="00665C4E" w:rsidRDefault="00625F36" w:rsidP="00625F36">
            <w:pPr>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12</w:t>
            </w:r>
            <w:r w:rsidRPr="00665C4E">
              <w:rPr>
                <w:rFonts w:ascii="Arial Narrow" w:hAnsi="Arial Narrow" w:cs="Arial"/>
                <w:sz w:val="20"/>
                <w:szCs w:val="20"/>
              </w:rPr>
              <w:t xml:space="preserve"> </w:t>
            </w:r>
            <w:r>
              <w:rPr>
                <w:rFonts w:ascii="Arial Narrow" w:hAnsi="Arial Narrow" w:cs="Arial"/>
                <w:sz w:val="20"/>
                <w:szCs w:val="20"/>
              </w:rPr>
              <w:t>UIT</w:t>
            </w:r>
          </w:p>
        </w:tc>
      </w:tr>
      <w:tr w:rsidR="00625F36" w:rsidRPr="00665C4E" w:rsidTr="00FF3CDF">
        <w:trPr>
          <w:trHeight w:val="461"/>
        </w:trPr>
        <w:tc>
          <w:tcPr>
            <w:tcW w:w="1009" w:type="dxa"/>
            <w:gridSpan w:val="2"/>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11.</w:t>
            </w:r>
          </w:p>
        </w:tc>
        <w:tc>
          <w:tcPr>
            <w:tcW w:w="875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conservar el </w:t>
            </w:r>
            <w:r>
              <w:rPr>
                <w:rFonts w:ascii="Arial Narrow" w:hAnsi="Arial Narrow" w:cs="Arial"/>
                <w:sz w:val="20"/>
                <w:szCs w:val="20"/>
              </w:rPr>
              <w:t>r</w:t>
            </w:r>
            <w:r w:rsidRPr="00665C4E">
              <w:rPr>
                <w:rFonts w:ascii="Arial Narrow" w:hAnsi="Arial Narrow" w:cs="Arial"/>
                <w:sz w:val="20"/>
                <w:szCs w:val="20"/>
              </w:rPr>
              <w:t xml:space="preserve">egistro de </w:t>
            </w:r>
            <w:r>
              <w:rPr>
                <w:rFonts w:ascii="Arial Narrow" w:hAnsi="Arial Narrow" w:cs="Arial"/>
                <w:sz w:val="20"/>
                <w:szCs w:val="20"/>
              </w:rPr>
              <w:t>o</w:t>
            </w:r>
            <w:r w:rsidRPr="00665C4E">
              <w:rPr>
                <w:rFonts w:ascii="Arial Narrow" w:hAnsi="Arial Narrow" w:cs="Arial"/>
                <w:sz w:val="20"/>
                <w:szCs w:val="20"/>
              </w:rPr>
              <w:t xml:space="preserve">peraciones por </w:t>
            </w:r>
            <w:r>
              <w:rPr>
                <w:rFonts w:ascii="Arial Narrow" w:hAnsi="Arial Narrow" w:cs="Arial"/>
                <w:sz w:val="20"/>
                <w:szCs w:val="20"/>
              </w:rPr>
              <w:t>cinco (5) años.</w:t>
            </w:r>
          </w:p>
        </w:tc>
        <w:tc>
          <w:tcPr>
            <w:tcW w:w="1225" w:type="dxa"/>
            <w:shd w:val="clear" w:color="auto" w:fill="auto"/>
          </w:tcPr>
          <w:p w:rsidR="00625F36" w:rsidRDefault="00625F36" w:rsidP="00625F36">
            <w:pPr>
              <w:jc w:val="center"/>
              <w:rPr>
                <w:rFonts w:ascii="Arial Narrow" w:hAnsi="Arial Narrow" w:cs="Arial"/>
                <w:sz w:val="20"/>
                <w:szCs w:val="20"/>
              </w:rPr>
            </w:pPr>
            <w:r>
              <w:rPr>
                <w:rFonts w:ascii="Arial Narrow" w:hAnsi="Arial Narrow" w:cs="Arial"/>
                <w:sz w:val="20"/>
                <w:szCs w:val="20"/>
              </w:rPr>
              <w:t>Multa</w:t>
            </w:r>
            <w:r>
              <w:rPr>
                <w:rFonts w:ascii="Arial Narrow" w:hAnsi="Arial Narrow" w:cs="Arial"/>
                <w:sz w:val="20"/>
                <w:szCs w:val="20"/>
              </w:rPr>
              <w:t xml:space="preserve"> </w:t>
            </w:r>
            <w:r>
              <w:rPr>
                <w:rFonts w:ascii="Arial Narrow" w:hAnsi="Arial Narrow" w:cs="Arial"/>
                <w:sz w:val="20"/>
                <w:szCs w:val="20"/>
              </w:rPr>
              <w:t>12</w:t>
            </w:r>
            <w:r w:rsidRPr="00665C4E">
              <w:rPr>
                <w:rFonts w:ascii="Arial Narrow" w:hAnsi="Arial Narrow" w:cs="Arial"/>
                <w:sz w:val="20"/>
                <w:szCs w:val="20"/>
              </w:rPr>
              <w:t xml:space="preserve"> </w:t>
            </w:r>
            <w:r>
              <w:rPr>
                <w:rFonts w:ascii="Arial Narrow" w:hAnsi="Arial Narrow" w:cs="Arial"/>
                <w:sz w:val="20"/>
                <w:szCs w:val="20"/>
              </w:rPr>
              <w:t>UIT</w:t>
            </w:r>
          </w:p>
        </w:tc>
      </w:tr>
      <w:tr w:rsidR="00625F36" w:rsidTr="00FF3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33"/>
        </w:trPr>
        <w:tc>
          <w:tcPr>
            <w:tcW w:w="9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5F36" w:rsidRDefault="00625F36" w:rsidP="0016794A">
            <w:pPr>
              <w:jc w:val="center"/>
              <w:rPr>
                <w:rFonts w:ascii="Arial Narrow" w:hAnsi="Arial Narrow"/>
                <w:sz w:val="20"/>
                <w:szCs w:val="20"/>
              </w:rPr>
            </w:pPr>
            <w:r>
              <w:rPr>
                <w:rFonts w:ascii="Arial Narrow" w:hAnsi="Arial Narrow"/>
                <w:sz w:val="20"/>
                <w:szCs w:val="20"/>
              </w:rPr>
              <w:t>12.</w:t>
            </w:r>
          </w:p>
        </w:tc>
        <w:tc>
          <w:tcPr>
            <w:tcW w:w="877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F36" w:rsidRDefault="00625F36" w:rsidP="0016794A">
            <w:pPr>
              <w:jc w:val="both"/>
              <w:rPr>
                <w:rFonts w:ascii="Arial Narrow" w:hAnsi="Arial Narrow"/>
                <w:sz w:val="20"/>
                <w:szCs w:val="20"/>
              </w:rPr>
            </w:pPr>
            <w:r>
              <w:rPr>
                <w:rFonts w:ascii="Arial Narrow" w:hAnsi="Arial Narrow"/>
                <w:sz w:val="20"/>
                <w:szCs w:val="20"/>
              </w:rPr>
              <w:t>No reportar a la UIF-Perú las operaciones sospechosas realizadas o que hayan intentado realizarse dentro de los treinta (30) días calendario de detectadas</w:t>
            </w:r>
          </w:p>
        </w:tc>
        <w:tc>
          <w:tcPr>
            <w:tcW w:w="1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F36" w:rsidRDefault="00625F36" w:rsidP="00625F36">
            <w:pPr>
              <w:rPr>
                <w:rFonts w:ascii="Arial Narrow" w:hAnsi="Arial Narrow"/>
                <w:sz w:val="20"/>
                <w:szCs w:val="20"/>
              </w:rPr>
            </w:pPr>
            <w:r>
              <w:rPr>
                <w:rFonts w:ascii="Arial Narrow" w:hAnsi="Arial Narrow"/>
                <w:sz w:val="20"/>
                <w:szCs w:val="20"/>
              </w:rPr>
              <w:t>Multa</w:t>
            </w:r>
            <w:r>
              <w:rPr>
                <w:rFonts w:ascii="Arial Narrow" w:hAnsi="Arial Narrow"/>
                <w:sz w:val="20"/>
                <w:szCs w:val="20"/>
              </w:rPr>
              <w:t xml:space="preserve"> </w:t>
            </w:r>
            <w:r>
              <w:rPr>
                <w:rFonts w:ascii="Arial Narrow" w:hAnsi="Arial Narrow"/>
                <w:sz w:val="20"/>
                <w:szCs w:val="20"/>
              </w:rPr>
              <w:t>15UIT</w:t>
            </w:r>
            <w:r>
              <w:rPr>
                <w:rStyle w:val="Refdecomentario"/>
              </w:rPr>
              <w:t>  </w:t>
            </w:r>
          </w:p>
        </w:tc>
      </w:tr>
      <w:tr w:rsidR="00625F36" w:rsidTr="00625F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75"/>
        </w:trPr>
        <w:tc>
          <w:tcPr>
            <w:tcW w:w="9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25F36" w:rsidRDefault="00625F36" w:rsidP="00625F36">
            <w:pPr>
              <w:jc w:val="center"/>
              <w:rPr>
                <w:rFonts w:ascii="Arial Narrow" w:hAnsi="Arial Narrow"/>
                <w:sz w:val="20"/>
                <w:szCs w:val="20"/>
              </w:rPr>
            </w:pPr>
            <w:r>
              <w:rPr>
                <w:rFonts w:ascii="Arial Narrow" w:hAnsi="Arial Narrow"/>
                <w:sz w:val="20"/>
                <w:szCs w:val="20"/>
              </w:rPr>
              <w:t>13.</w:t>
            </w:r>
          </w:p>
        </w:tc>
        <w:tc>
          <w:tcPr>
            <w:tcW w:w="87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5F36" w:rsidRDefault="00625F36" w:rsidP="0016794A">
            <w:pPr>
              <w:jc w:val="both"/>
              <w:rPr>
                <w:rFonts w:ascii="Arial Narrow" w:hAnsi="Arial Narrow"/>
                <w:sz w:val="20"/>
                <w:szCs w:val="20"/>
              </w:rPr>
            </w:pPr>
            <w:r>
              <w:rPr>
                <w:rFonts w:ascii="Arial Narrow" w:hAnsi="Arial Narrow"/>
                <w:sz w:val="20"/>
                <w:szCs w:val="20"/>
              </w:rPr>
              <w:t>Eliminar o modificar operaciones del registro de operaciones.</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625F36" w:rsidRDefault="00625F36" w:rsidP="00625F36">
            <w:pPr>
              <w:jc w:val="center"/>
              <w:rPr>
                <w:rFonts w:ascii="Arial Narrow" w:hAnsi="Arial Narrow"/>
                <w:sz w:val="20"/>
                <w:szCs w:val="20"/>
              </w:rPr>
            </w:pPr>
            <w:r>
              <w:rPr>
                <w:rFonts w:ascii="Arial Narrow" w:hAnsi="Arial Narrow"/>
                <w:sz w:val="20"/>
                <w:szCs w:val="20"/>
              </w:rPr>
              <w:t>Multa</w:t>
            </w:r>
            <w:r>
              <w:rPr>
                <w:rFonts w:ascii="Arial Narrow" w:hAnsi="Arial Narrow"/>
                <w:sz w:val="20"/>
                <w:szCs w:val="20"/>
              </w:rPr>
              <w:t xml:space="preserve"> </w:t>
            </w:r>
            <w:r>
              <w:rPr>
                <w:rFonts w:ascii="Arial Narrow" w:hAnsi="Arial Narrow"/>
                <w:sz w:val="20"/>
                <w:szCs w:val="20"/>
              </w:rPr>
              <w:t>20 UIT</w:t>
            </w:r>
          </w:p>
        </w:tc>
      </w:tr>
      <w:tr w:rsidR="00625F36" w:rsidTr="00FF3C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24"/>
        </w:trPr>
        <w:tc>
          <w:tcPr>
            <w:tcW w:w="9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F36" w:rsidRDefault="00625F36" w:rsidP="0016794A">
            <w:pPr>
              <w:jc w:val="center"/>
              <w:rPr>
                <w:rFonts w:ascii="Arial Narrow" w:hAnsi="Arial Narrow"/>
                <w:sz w:val="20"/>
                <w:szCs w:val="20"/>
              </w:rPr>
            </w:pPr>
            <w:r>
              <w:rPr>
                <w:rFonts w:ascii="Arial Narrow" w:hAnsi="Arial Narrow"/>
                <w:sz w:val="20"/>
                <w:szCs w:val="20"/>
              </w:rPr>
              <w:t>14.</w:t>
            </w:r>
          </w:p>
        </w:tc>
        <w:tc>
          <w:tcPr>
            <w:tcW w:w="87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25F36" w:rsidRDefault="00625F36" w:rsidP="0016794A">
            <w:pPr>
              <w:jc w:val="both"/>
              <w:rPr>
                <w:rFonts w:ascii="Arial Narrow" w:hAnsi="Arial Narrow"/>
                <w:sz w:val="20"/>
                <w:szCs w:val="20"/>
              </w:rPr>
            </w:pPr>
            <w:r>
              <w:rPr>
                <w:rFonts w:ascii="Arial Narrow" w:hAnsi="Arial Narrow"/>
                <w:sz w:val="20"/>
                <w:szCs w:val="20"/>
              </w:rPr>
              <w:t>No contar con registro de operaciones.</w:t>
            </w:r>
          </w:p>
        </w:tc>
        <w:tc>
          <w:tcPr>
            <w:tcW w:w="1225" w:type="dxa"/>
            <w:tcBorders>
              <w:top w:val="nil"/>
              <w:left w:val="nil"/>
              <w:bottom w:val="single" w:sz="8" w:space="0" w:color="auto"/>
              <w:right w:val="single" w:sz="8" w:space="0" w:color="auto"/>
            </w:tcBorders>
            <w:tcMar>
              <w:top w:w="0" w:type="dxa"/>
              <w:left w:w="108" w:type="dxa"/>
              <w:bottom w:w="0" w:type="dxa"/>
              <w:right w:w="108" w:type="dxa"/>
            </w:tcMar>
            <w:hideMark/>
          </w:tcPr>
          <w:p w:rsidR="00625F36" w:rsidRDefault="00625F36" w:rsidP="00625F36">
            <w:pPr>
              <w:jc w:val="center"/>
              <w:rPr>
                <w:rFonts w:ascii="Arial Narrow" w:hAnsi="Arial Narrow"/>
                <w:sz w:val="20"/>
                <w:szCs w:val="20"/>
              </w:rPr>
            </w:pPr>
            <w:r>
              <w:rPr>
                <w:rFonts w:ascii="Arial Narrow" w:hAnsi="Arial Narrow"/>
                <w:sz w:val="20"/>
                <w:szCs w:val="20"/>
              </w:rPr>
              <w:t>Multa</w:t>
            </w:r>
            <w:r>
              <w:rPr>
                <w:rFonts w:ascii="Arial Narrow" w:hAnsi="Arial Narrow"/>
                <w:sz w:val="20"/>
                <w:szCs w:val="20"/>
              </w:rPr>
              <w:t xml:space="preserve"> </w:t>
            </w:r>
            <w:r>
              <w:rPr>
                <w:rFonts w:ascii="Arial Narrow" w:hAnsi="Arial Narrow"/>
                <w:sz w:val="20"/>
                <w:szCs w:val="20"/>
              </w:rPr>
              <w:t>20 UIT</w:t>
            </w:r>
          </w:p>
        </w:tc>
      </w:tr>
    </w:tbl>
    <w:p w:rsidR="00FF3CDF" w:rsidRDefault="00FF3CDF" w:rsidP="00625F36">
      <w:pPr>
        <w:jc w:val="both"/>
        <w:rPr>
          <w:rFonts w:ascii="Arial Narrow" w:hAnsi="Arial Narrow" w:cs="Arial"/>
          <w:b/>
          <w:sz w:val="20"/>
          <w:szCs w:val="20"/>
        </w:rPr>
      </w:pPr>
    </w:p>
    <w:p w:rsidR="00625F36" w:rsidRPr="00665C4E" w:rsidRDefault="00625F36" w:rsidP="00625F36">
      <w:pPr>
        <w:jc w:val="both"/>
        <w:rPr>
          <w:rFonts w:ascii="Arial Narrow" w:hAnsi="Arial Narrow" w:cs="Arial"/>
          <w:b/>
          <w:sz w:val="20"/>
          <w:szCs w:val="20"/>
        </w:rPr>
      </w:pPr>
      <w:r w:rsidRPr="00665C4E">
        <w:rPr>
          <w:rFonts w:ascii="Arial Narrow" w:hAnsi="Arial Narrow" w:cs="Arial"/>
          <w:b/>
          <w:sz w:val="20"/>
          <w:szCs w:val="20"/>
        </w:rPr>
        <w:t xml:space="preserve">Con relación al manual y código de conducta para la prevención del </w:t>
      </w:r>
      <w:r>
        <w:rPr>
          <w:rFonts w:ascii="Arial Narrow" w:hAnsi="Arial Narrow" w:cs="Arial"/>
          <w:b/>
          <w:sz w:val="20"/>
          <w:szCs w:val="20"/>
        </w:rPr>
        <w:t>LA/FT</w:t>
      </w:r>
    </w:p>
    <w:tbl>
      <w:tblPr>
        <w:tblW w:w="10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8708"/>
        <w:gridCol w:w="1218"/>
      </w:tblGrid>
      <w:tr w:rsidR="00625F36" w:rsidRPr="00DA2D04" w:rsidTr="00FF3CDF">
        <w:trPr>
          <w:trHeight w:val="483"/>
        </w:trPr>
        <w:tc>
          <w:tcPr>
            <w:tcW w:w="1000" w:type="dxa"/>
            <w:shd w:val="clear" w:color="auto" w:fill="F2F2F2" w:themeFill="background1" w:themeFillShade="F2"/>
          </w:tcPr>
          <w:p w:rsidR="00625F36" w:rsidRPr="00DA2D04" w:rsidRDefault="00625F36" w:rsidP="0016794A">
            <w:pPr>
              <w:jc w:val="center"/>
              <w:rPr>
                <w:rFonts w:ascii="Arial Narrow" w:hAnsi="Arial Narrow" w:cs="Arial"/>
                <w:b/>
                <w:sz w:val="20"/>
                <w:szCs w:val="20"/>
              </w:rPr>
            </w:pPr>
            <w:r w:rsidRPr="00DA2D04">
              <w:rPr>
                <w:rFonts w:ascii="Arial Narrow" w:hAnsi="Arial Narrow" w:cs="Arial"/>
                <w:b/>
                <w:sz w:val="20"/>
                <w:szCs w:val="20"/>
              </w:rPr>
              <w:t>#</w:t>
            </w:r>
          </w:p>
        </w:tc>
        <w:tc>
          <w:tcPr>
            <w:tcW w:w="8708" w:type="dxa"/>
            <w:shd w:val="clear" w:color="auto" w:fill="F2F2F2" w:themeFill="background1" w:themeFillShade="F2"/>
          </w:tcPr>
          <w:p w:rsidR="00625F36" w:rsidRPr="00DA2D04" w:rsidRDefault="00625F36" w:rsidP="0016794A">
            <w:pPr>
              <w:pStyle w:val="Prrafodelista"/>
              <w:ind w:left="33"/>
              <w:jc w:val="both"/>
              <w:rPr>
                <w:rFonts w:eastAsia="Calibri" w:cs="Arial"/>
                <w:b/>
                <w:sz w:val="20"/>
                <w:szCs w:val="20"/>
              </w:rPr>
            </w:pPr>
            <w:r w:rsidRPr="00DA2D04">
              <w:rPr>
                <w:rFonts w:eastAsia="Calibri" w:cs="Arial"/>
                <w:b/>
                <w:sz w:val="20"/>
                <w:szCs w:val="20"/>
              </w:rPr>
              <w:t xml:space="preserve">INFRACCIÓN </w:t>
            </w:r>
          </w:p>
        </w:tc>
        <w:tc>
          <w:tcPr>
            <w:tcW w:w="1218" w:type="dxa"/>
            <w:shd w:val="clear" w:color="auto" w:fill="F2F2F2" w:themeFill="background1" w:themeFillShade="F2"/>
          </w:tcPr>
          <w:p w:rsidR="00625F36" w:rsidRPr="00DA2D04" w:rsidRDefault="00625F36" w:rsidP="0016794A">
            <w:pPr>
              <w:jc w:val="center"/>
              <w:rPr>
                <w:rFonts w:ascii="Arial Narrow" w:hAnsi="Arial Narrow" w:cs="Arial"/>
                <w:b/>
                <w:sz w:val="20"/>
                <w:szCs w:val="20"/>
              </w:rPr>
            </w:pPr>
            <w:r w:rsidRPr="00DA2D04">
              <w:rPr>
                <w:rFonts w:ascii="Arial Narrow" w:hAnsi="Arial Narrow" w:cs="Arial"/>
                <w:b/>
                <w:sz w:val="20"/>
                <w:szCs w:val="20"/>
              </w:rPr>
              <w:t>SANCIÓN</w:t>
            </w:r>
          </w:p>
        </w:tc>
      </w:tr>
      <w:tr w:rsidR="00625F36" w:rsidRPr="00665C4E" w:rsidTr="00FF3CDF">
        <w:trPr>
          <w:trHeight w:val="572"/>
        </w:trPr>
        <w:tc>
          <w:tcPr>
            <w:tcW w:w="1000"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15.</w:t>
            </w:r>
          </w:p>
        </w:tc>
        <w:tc>
          <w:tcPr>
            <w:tcW w:w="8708" w:type="dxa"/>
          </w:tcPr>
          <w:p w:rsidR="00625F36" w:rsidRPr="00522A9E" w:rsidRDefault="00625F36" w:rsidP="0016794A">
            <w:pPr>
              <w:pStyle w:val="Prrafodelista"/>
              <w:ind w:left="34"/>
              <w:jc w:val="both"/>
              <w:rPr>
                <w:rFonts w:cs="Arial"/>
                <w:sz w:val="20"/>
                <w:szCs w:val="20"/>
              </w:rPr>
            </w:pPr>
            <w:r w:rsidRPr="00522A9E">
              <w:rPr>
                <w:rFonts w:cs="Arial"/>
                <w:sz w:val="20"/>
                <w:szCs w:val="20"/>
              </w:rPr>
              <w:t>No hacer de conocimiento y requerir la suscripción del código de conducta para la p</w:t>
            </w:r>
            <w:r w:rsidRPr="00D82A14">
              <w:rPr>
                <w:rFonts w:cs="Arial"/>
                <w:sz w:val="20"/>
                <w:szCs w:val="20"/>
              </w:rPr>
              <w:t xml:space="preserve">revención del lavado de activos y </w:t>
            </w:r>
            <w:r>
              <w:rPr>
                <w:rFonts w:cs="Arial"/>
                <w:sz w:val="20"/>
                <w:szCs w:val="20"/>
              </w:rPr>
              <w:t xml:space="preserve">del </w:t>
            </w:r>
            <w:r w:rsidRPr="00D82A14">
              <w:rPr>
                <w:rFonts w:cs="Arial"/>
                <w:sz w:val="20"/>
                <w:szCs w:val="20"/>
              </w:rPr>
              <w:t>financiamiento del terrorismo</w:t>
            </w:r>
            <w:r w:rsidRPr="00BB1C45">
              <w:rPr>
                <w:rFonts w:cs="Arial"/>
                <w:sz w:val="20"/>
                <w:szCs w:val="20"/>
              </w:rPr>
              <w:t xml:space="preserve"> </w:t>
            </w:r>
            <w:r w:rsidRPr="00522A9E">
              <w:rPr>
                <w:rFonts w:cs="Arial"/>
                <w:sz w:val="20"/>
                <w:szCs w:val="20"/>
              </w:rPr>
              <w:t xml:space="preserve">por parte de los trabajadores, conforme </w:t>
            </w:r>
            <w:r w:rsidRPr="00D82A14">
              <w:rPr>
                <w:rFonts w:cs="Arial"/>
                <w:sz w:val="20"/>
                <w:szCs w:val="20"/>
              </w:rPr>
              <w:t>a lo dispuesto en las normas.</w:t>
            </w:r>
          </w:p>
        </w:tc>
        <w:tc>
          <w:tcPr>
            <w:tcW w:w="1218" w:type="dxa"/>
            <w:shd w:val="clear" w:color="auto" w:fill="auto"/>
          </w:tcPr>
          <w:p w:rsidR="00625F36" w:rsidRPr="00665C4E" w:rsidRDefault="00625F36" w:rsidP="00FF3CDF">
            <w:pPr>
              <w:tabs>
                <w:tab w:val="left" w:pos="-108"/>
                <w:tab w:val="center" w:pos="388"/>
              </w:tabs>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10</w:t>
            </w:r>
            <w:r>
              <w:rPr>
                <w:rFonts w:ascii="Arial Narrow" w:hAnsi="Arial Narrow" w:cs="Arial"/>
                <w:sz w:val="20"/>
                <w:szCs w:val="20"/>
              </w:rPr>
              <w:t xml:space="preserve"> UIT</w:t>
            </w:r>
          </w:p>
        </w:tc>
      </w:tr>
      <w:tr w:rsidR="00625F36" w:rsidRPr="00665C4E" w:rsidTr="00FF3CDF">
        <w:trPr>
          <w:trHeight w:val="144"/>
        </w:trPr>
        <w:tc>
          <w:tcPr>
            <w:tcW w:w="1000"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16.</w:t>
            </w:r>
          </w:p>
        </w:tc>
        <w:tc>
          <w:tcPr>
            <w:tcW w:w="8708" w:type="dxa"/>
          </w:tcPr>
          <w:p w:rsidR="00625F36" w:rsidRPr="00D82A14" w:rsidRDefault="00625F36" w:rsidP="0016794A">
            <w:pPr>
              <w:pStyle w:val="Prrafodelista"/>
              <w:ind w:left="34"/>
              <w:jc w:val="both"/>
              <w:rPr>
                <w:rFonts w:cs="Arial"/>
                <w:sz w:val="20"/>
                <w:szCs w:val="20"/>
              </w:rPr>
            </w:pPr>
            <w:r w:rsidRPr="00522A9E">
              <w:rPr>
                <w:rFonts w:cs="Arial"/>
                <w:sz w:val="20"/>
                <w:szCs w:val="20"/>
              </w:rPr>
              <w:t>Incumplir las disposiciones establecidas en el manual y/o código de conducta para la prevención de</w:t>
            </w:r>
            <w:r>
              <w:rPr>
                <w:rFonts w:cs="Arial"/>
                <w:sz w:val="20"/>
                <w:szCs w:val="20"/>
              </w:rPr>
              <w:t>l</w:t>
            </w:r>
            <w:r w:rsidRPr="00522A9E">
              <w:rPr>
                <w:rFonts w:cs="Arial"/>
                <w:sz w:val="20"/>
                <w:szCs w:val="20"/>
              </w:rPr>
              <w:t xml:space="preserve"> lavado de activos y </w:t>
            </w:r>
            <w:r>
              <w:rPr>
                <w:rFonts w:cs="Arial"/>
                <w:sz w:val="20"/>
                <w:szCs w:val="20"/>
              </w:rPr>
              <w:t xml:space="preserve">del </w:t>
            </w:r>
            <w:r w:rsidRPr="00522A9E">
              <w:rPr>
                <w:rFonts w:cs="Arial"/>
                <w:sz w:val="20"/>
                <w:szCs w:val="20"/>
              </w:rPr>
              <w:t>financiamiento del terrorismo.</w:t>
            </w:r>
          </w:p>
        </w:tc>
        <w:tc>
          <w:tcPr>
            <w:tcW w:w="1218" w:type="dxa"/>
            <w:shd w:val="clear" w:color="auto" w:fill="auto"/>
          </w:tcPr>
          <w:p w:rsidR="00625F36" w:rsidRPr="00665C4E" w:rsidRDefault="00625F36" w:rsidP="00FF3CDF">
            <w:pPr>
              <w:tabs>
                <w:tab w:val="left" w:pos="-108"/>
                <w:tab w:val="center" w:pos="388"/>
              </w:tabs>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10</w:t>
            </w:r>
            <w:r>
              <w:rPr>
                <w:rFonts w:ascii="Arial Narrow" w:hAnsi="Arial Narrow" w:cs="Arial"/>
                <w:sz w:val="20"/>
                <w:szCs w:val="20"/>
              </w:rPr>
              <w:t xml:space="preserve"> UIT</w:t>
            </w:r>
          </w:p>
        </w:tc>
      </w:tr>
      <w:tr w:rsidR="00625F36" w:rsidRPr="00665C4E" w:rsidTr="00FF3CDF">
        <w:trPr>
          <w:trHeight w:val="144"/>
        </w:trPr>
        <w:tc>
          <w:tcPr>
            <w:tcW w:w="1000"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17</w:t>
            </w:r>
            <w:r w:rsidRPr="00665C4E">
              <w:rPr>
                <w:rFonts w:ascii="Arial Narrow" w:hAnsi="Arial Narrow" w:cs="Arial"/>
                <w:sz w:val="20"/>
                <w:szCs w:val="20"/>
              </w:rPr>
              <w:t>.</w:t>
            </w:r>
          </w:p>
        </w:tc>
        <w:tc>
          <w:tcPr>
            <w:tcW w:w="8708" w:type="dxa"/>
          </w:tcPr>
          <w:p w:rsidR="00625F36" w:rsidRPr="00665C4E" w:rsidRDefault="00625F36" w:rsidP="0016794A">
            <w:pPr>
              <w:pStyle w:val="Prrafodelista"/>
              <w:ind w:left="34"/>
              <w:jc w:val="both"/>
              <w:rPr>
                <w:rFonts w:cs="Arial"/>
                <w:sz w:val="20"/>
                <w:szCs w:val="20"/>
              </w:rPr>
            </w:pPr>
            <w:r w:rsidRPr="00665C4E">
              <w:rPr>
                <w:rFonts w:cs="Arial"/>
                <w:sz w:val="20"/>
                <w:szCs w:val="20"/>
              </w:rPr>
              <w:t xml:space="preserve">No contar con un </w:t>
            </w:r>
            <w:r>
              <w:rPr>
                <w:rFonts w:cs="Arial"/>
                <w:sz w:val="20"/>
                <w:szCs w:val="20"/>
              </w:rPr>
              <w:t>c</w:t>
            </w:r>
            <w:r w:rsidRPr="00665C4E">
              <w:rPr>
                <w:rFonts w:cs="Arial"/>
                <w:sz w:val="20"/>
                <w:szCs w:val="20"/>
              </w:rPr>
              <w:t xml:space="preserve">ódigo de </w:t>
            </w:r>
            <w:r>
              <w:rPr>
                <w:rFonts w:cs="Arial"/>
                <w:sz w:val="20"/>
                <w:szCs w:val="20"/>
              </w:rPr>
              <w:t>c</w:t>
            </w:r>
            <w:r w:rsidRPr="00665C4E">
              <w:rPr>
                <w:rFonts w:cs="Arial"/>
                <w:sz w:val="20"/>
                <w:szCs w:val="20"/>
              </w:rPr>
              <w:t>onducta para la prevención del lavado de activos y del financiamiento del terrorismo</w:t>
            </w:r>
            <w:r>
              <w:rPr>
                <w:rFonts w:cs="Arial"/>
                <w:sz w:val="20"/>
                <w:szCs w:val="20"/>
              </w:rPr>
              <w:t>.</w:t>
            </w:r>
          </w:p>
        </w:tc>
        <w:tc>
          <w:tcPr>
            <w:tcW w:w="1218" w:type="dxa"/>
            <w:shd w:val="clear" w:color="auto" w:fill="auto"/>
          </w:tcPr>
          <w:p w:rsidR="00625F36" w:rsidRDefault="00625F36" w:rsidP="00FF3CDF">
            <w:pPr>
              <w:tabs>
                <w:tab w:val="left" w:pos="-108"/>
                <w:tab w:val="center" w:pos="388"/>
              </w:tabs>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Pr>
                <w:rFonts w:ascii="Arial Narrow" w:hAnsi="Arial Narrow" w:cs="Arial"/>
                <w:sz w:val="20"/>
                <w:szCs w:val="20"/>
              </w:rPr>
              <w:t>15 UIT</w:t>
            </w:r>
          </w:p>
        </w:tc>
      </w:tr>
      <w:tr w:rsidR="00625F36" w:rsidRPr="00665C4E" w:rsidTr="00FF3CDF">
        <w:trPr>
          <w:trHeight w:val="144"/>
        </w:trPr>
        <w:tc>
          <w:tcPr>
            <w:tcW w:w="1000"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18</w:t>
            </w:r>
            <w:r w:rsidRPr="00665C4E">
              <w:rPr>
                <w:rFonts w:ascii="Arial Narrow" w:hAnsi="Arial Narrow" w:cs="Arial"/>
                <w:sz w:val="20"/>
                <w:szCs w:val="20"/>
              </w:rPr>
              <w:t>.</w:t>
            </w:r>
          </w:p>
        </w:tc>
        <w:tc>
          <w:tcPr>
            <w:tcW w:w="8708" w:type="dxa"/>
          </w:tcPr>
          <w:p w:rsidR="00625F36" w:rsidRPr="00665C4E" w:rsidRDefault="00625F36" w:rsidP="0016794A">
            <w:pPr>
              <w:pStyle w:val="Prrafodelista"/>
              <w:ind w:left="34"/>
              <w:jc w:val="both"/>
              <w:rPr>
                <w:rFonts w:cs="Arial"/>
                <w:sz w:val="20"/>
                <w:szCs w:val="20"/>
              </w:rPr>
            </w:pPr>
            <w:r w:rsidRPr="00665C4E">
              <w:rPr>
                <w:rFonts w:cs="Arial"/>
                <w:sz w:val="20"/>
                <w:szCs w:val="20"/>
              </w:rPr>
              <w:t xml:space="preserve">No contar con un </w:t>
            </w:r>
            <w:r>
              <w:rPr>
                <w:rFonts w:cs="Arial"/>
                <w:sz w:val="20"/>
                <w:szCs w:val="20"/>
              </w:rPr>
              <w:t>m</w:t>
            </w:r>
            <w:r w:rsidRPr="00665C4E">
              <w:rPr>
                <w:rFonts w:cs="Arial"/>
                <w:sz w:val="20"/>
                <w:szCs w:val="20"/>
              </w:rPr>
              <w:t>anual para la prevención del lavado de activos y del financiamiento del terrorismo.</w:t>
            </w:r>
          </w:p>
        </w:tc>
        <w:tc>
          <w:tcPr>
            <w:tcW w:w="1218" w:type="dxa"/>
            <w:shd w:val="clear" w:color="auto" w:fill="auto"/>
          </w:tcPr>
          <w:p w:rsidR="00625F36" w:rsidRDefault="00625F36" w:rsidP="00FF3CDF">
            <w:pPr>
              <w:tabs>
                <w:tab w:val="left" w:pos="-108"/>
                <w:tab w:val="center" w:pos="388"/>
              </w:tabs>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Pr>
                <w:rFonts w:ascii="Arial Narrow" w:hAnsi="Arial Narrow" w:cs="Arial"/>
                <w:sz w:val="20"/>
                <w:szCs w:val="20"/>
              </w:rPr>
              <w:t>20 UIT</w:t>
            </w:r>
          </w:p>
        </w:tc>
      </w:tr>
    </w:tbl>
    <w:p w:rsidR="00175AE5" w:rsidRDefault="00175AE5" w:rsidP="00625F36">
      <w:pPr>
        <w:jc w:val="both"/>
        <w:rPr>
          <w:rFonts w:ascii="Arial Narrow" w:hAnsi="Arial Narrow" w:cs="Arial"/>
          <w:b/>
          <w:sz w:val="20"/>
          <w:szCs w:val="20"/>
        </w:rPr>
      </w:pPr>
    </w:p>
    <w:p w:rsidR="00625F36" w:rsidRDefault="00625F36" w:rsidP="00625F36">
      <w:pPr>
        <w:jc w:val="both"/>
        <w:rPr>
          <w:rFonts w:ascii="Arial Narrow" w:hAnsi="Arial Narrow" w:cs="Arial"/>
          <w:b/>
          <w:sz w:val="20"/>
          <w:szCs w:val="20"/>
        </w:rPr>
      </w:pPr>
      <w:r w:rsidRPr="00665C4E">
        <w:rPr>
          <w:rFonts w:ascii="Arial Narrow" w:hAnsi="Arial Narrow" w:cs="Arial"/>
          <w:b/>
          <w:sz w:val="20"/>
          <w:szCs w:val="20"/>
        </w:rPr>
        <w:t xml:space="preserve">Con relación al  oficial de </w:t>
      </w:r>
      <w:r>
        <w:rPr>
          <w:rFonts w:ascii="Arial Narrow" w:hAnsi="Arial Narrow" w:cs="Arial"/>
          <w:b/>
          <w:sz w:val="20"/>
          <w:szCs w:val="20"/>
        </w:rPr>
        <w:t>c</w:t>
      </w:r>
      <w:r w:rsidRPr="00665C4E">
        <w:rPr>
          <w:rFonts w:ascii="Arial Narrow" w:hAnsi="Arial Narrow" w:cs="Arial"/>
          <w:b/>
          <w:sz w:val="20"/>
          <w:szCs w:val="20"/>
        </w:rPr>
        <w:t>umplimiento</w:t>
      </w:r>
    </w:p>
    <w:tbl>
      <w:tblPr>
        <w:tblW w:w="10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8732"/>
        <w:gridCol w:w="1221"/>
      </w:tblGrid>
      <w:tr w:rsidR="00625F36" w:rsidRPr="00665C4E" w:rsidTr="00FF3CDF">
        <w:trPr>
          <w:trHeight w:val="483"/>
        </w:trPr>
        <w:tc>
          <w:tcPr>
            <w:tcW w:w="1002" w:type="dxa"/>
            <w:shd w:val="clear" w:color="auto" w:fill="F2F2F2" w:themeFill="background1" w:themeFillShade="F2"/>
          </w:tcPr>
          <w:p w:rsidR="00625F36" w:rsidRPr="00030185" w:rsidRDefault="00625F36" w:rsidP="0016794A">
            <w:pPr>
              <w:jc w:val="center"/>
              <w:rPr>
                <w:rFonts w:ascii="Arial Narrow" w:hAnsi="Arial Narrow" w:cs="Arial"/>
                <w:b/>
                <w:sz w:val="20"/>
                <w:szCs w:val="20"/>
              </w:rPr>
            </w:pPr>
            <w:r w:rsidRPr="00030185">
              <w:rPr>
                <w:rFonts w:ascii="Arial Narrow" w:hAnsi="Arial Narrow" w:cs="Arial"/>
                <w:b/>
                <w:sz w:val="20"/>
                <w:szCs w:val="20"/>
              </w:rPr>
              <w:lastRenderedPageBreak/>
              <w:t>#</w:t>
            </w:r>
          </w:p>
        </w:tc>
        <w:tc>
          <w:tcPr>
            <w:tcW w:w="8732" w:type="dxa"/>
            <w:shd w:val="clear" w:color="auto" w:fill="F2F2F2" w:themeFill="background1" w:themeFillShade="F2"/>
          </w:tcPr>
          <w:p w:rsidR="00625F36" w:rsidRPr="00030185" w:rsidRDefault="00625F36" w:rsidP="0016794A">
            <w:pPr>
              <w:pStyle w:val="Prrafodelista"/>
              <w:ind w:left="33"/>
              <w:jc w:val="both"/>
              <w:rPr>
                <w:rFonts w:eastAsia="Calibri" w:cs="Arial"/>
                <w:b/>
                <w:sz w:val="20"/>
                <w:szCs w:val="20"/>
              </w:rPr>
            </w:pPr>
            <w:r w:rsidRPr="00030185">
              <w:rPr>
                <w:rFonts w:eastAsia="Calibri" w:cs="Arial"/>
                <w:b/>
                <w:sz w:val="20"/>
                <w:szCs w:val="20"/>
              </w:rPr>
              <w:t xml:space="preserve">INFRACCIÓN </w:t>
            </w:r>
          </w:p>
        </w:tc>
        <w:tc>
          <w:tcPr>
            <w:tcW w:w="1221" w:type="dxa"/>
            <w:shd w:val="clear" w:color="auto" w:fill="F2F2F2" w:themeFill="background1" w:themeFillShade="F2"/>
          </w:tcPr>
          <w:p w:rsidR="00625F36" w:rsidRPr="00030185" w:rsidRDefault="00625F36" w:rsidP="0016794A">
            <w:pPr>
              <w:jc w:val="center"/>
              <w:rPr>
                <w:rFonts w:ascii="Arial Narrow" w:hAnsi="Arial Narrow" w:cs="Arial"/>
                <w:b/>
                <w:sz w:val="20"/>
                <w:szCs w:val="20"/>
              </w:rPr>
            </w:pPr>
            <w:r w:rsidRPr="00030185">
              <w:rPr>
                <w:rFonts w:ascii="Arial Narrow" w:hAnsi="Arial Narrow" w:cs="Arial"/>
                <w:b/>
                <w:sz w:val="20"/>
                <w:szCs w:val="20"/>
              </w:rPr>
              <w:t>SANCIÓN</w:t>
            </w:r>
          </w:p>
        </w:tc>
      </w:tr>
      <w:tr w:rsidR="00625F36" w:rsidRPr="00665C4E" w:rsidTr="00FF3CDF">
        <w:trPr>
          <w:trHeight w:val="557"/>
        </w:trPr>
        <w:tc>
          <w:tcPr>
            <w:tcW w:w="1002" w:type="dxa"/>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19.</w:t>
            </w:r>
          </w:p>
        </w:tc>
        <w:tc>
          <w:tcPr>
            <w:tcW w:w="873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comunicar a la DGJCMT y/o a la UIF-Perú la designación del </w:t>
            </w:r>
            <w:r>
              <w:rPr>
                <w:rFonts w:ascii="Arial Narrow" w:hAnsi="Arial Narrow" w:cs="Arial"/>
                <w:sz w:val="20"/>
                <w:szCs w:val="20"/>
              </w:rPr>
              <w:t>o</w:t>
            </w:r>
            <w:r w:rsidRPr="00665C4E">
              <w:rPr>
                <w:rFonts w:ascii="Arial Narrow" w:hAnsi="Arial Narrow" w:cs="Arial"/>
                <w:sz w:val="20"/>
                <w:szCs w:val="20"/>
              </w:rPr>
              <w:t xml:space="preserve">ficial de </w:t>
            </w:r>
            <w:r>
              <w:rPr>
                <w:rFonts w:ascii="Arial Narrow" w:hAnsi="Arial Narrow" w:cs="Arial"/>
                <w:sz w:val="20"/>
                <w:szCs w:val="20"/>
              </w:rPr>
              <w:t>c</w:t>
            </w:r>
            <w:r w:rsidRPr="00665C4E">
              <w:rPr>
                <w:rFonts w:ascii="Arial Narrow" w:hAnsi="Arial Narrow" w:cs="Arial"/>
                <w:sz w:val="20"/>
                <w:szCs w:val="20"/>
              </w:rPr>
              <w:t>umplimiento dentro del plazo establecido por la normativa vigente.</w:t>
            </w:r>
          </w:p>
        </w:tc>
        <w:tc>
          <w:tcPr>
            <w:tcW w:w="1221"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w:t>
            </w:r>
            <w:r>
              <w:rPr>
                <w:rFonts w:ascii="Arial Narrow" w:hAnsi="Arial Narrow" w:cs="Arial"/>
                <w:sz w:val="20"/>
                <w:szCs w:val="20"/>
              </w:rPr>
              <w:t>0 UIT</w:t>
            </w:r>
          </w:p>
        </w:tc>
      </w:tr>
      <w:tr w:rsidR="00625F36" w:rsidRPr="00665C4E" w:rsidTr="00FF3CDF">
        <w:trPr>
          <w:trHeight w:val="613"/>
        </w:trPr>
        <w:tc>
          <w:tcPr>
            <w:tcW w:w="100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20.</w:t>
            </w:r>
          </w:p>
        </w:tc>
        <w:tc>
          <w:tcPr>
            <w:tcW w:w="873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comunicar a la DGJCMT y/o </w:t>
            </w:r>
            <w:r>
              <w:rPr>
                <w:rFonts w:ascii="Arial Narrow" w:hAnsi="Arial Narrow" w:cs="Arial"/>
                <w:sz w:val="20"/>
                <w:szCs w:val="20"/>
              </w:rPr>
              <w:t xml:space="preserve">a </w:t>
            </w:r>
            <w:r w:rsidRPr="00665C4E">
              <w:rPr>
                <w:rFonts w:ascii="Arial Narrow" w:hAnsi="Arial Narrow" w:cs="Arial"/>
                <w:sz w:val="20"/>
                <w:szCs w:val="20"/>
              </w:rPr>
              <w:t xml:space="preserve">la UIF-Perú, el cambio, reemplazo o la remoción del </w:t>
            </w:r>
            <w:r>
              <w:rPr>
                <w:rFonts w:ascii="Arial Narrow" w:hAnsi="Arial Narrow" w:cs="Arial"/>
                <w:sz w:val="20"/>
                <w:szCs w:val="20"/>
              </w:rPr>
              <w:t>o</w:t>
            </w:r>
            <w:r w:rsidRPr="00665C4E">
              <w:rPr>
                <w:rFonts w:ascii="Arial Narrow" w:hAnsi="Arial Narrow" w:cs="Arial"/>
                <w:sz w:val="20"/>
                <w:szCs w:val="20"/>
              </w:rPr>
              <w:t xml:space="preserve">ficial de </w:t>
            </w:r>
            <w:r>
              <w:rPr>
                <w:rFonts w:ascii="Arial Narrow" w:hAnsi="Arial Narrow" w:cs="Arial"/>
                <w:sz w:val="20"/>
                <w:szCs w:val="20"/>
              </w:rPr>
              <w:t>c</w:t>
            </w:r>
            <w:r w:rsidRPr="00665C4E">
              <w:rPr>
                <w:rFonts w:ascii="Arial Narrow" w:hAnsi="Arial Narrow" w:cs="Arial"/>
                <w:sz w:val="20"/>
                <w:szCs w:val="20"/>
              </w:rPr>
              <w:t>umplimiento dentro del plazo establecido por la normativa vigente.</w:t>
            </w:r>
          </w:p>
        </w:tc>
        <w:tc>
          <w:tcPr>
            <w:tcW w:w="1221" w:type="dxa"/>
            <w:shd w:val="clear" w:color="auto" w:fill="auto"/>
          </w:tcPr>
          <w:p w:rsidR="00625F36"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w:t>
            </w:r>
            <w:r>
              <w:rPr>
                <w:rFonts w:ascii="Arial Narrow" w:hAnsi="Arial Narrow" w:cs="Arial"/>
                <w:sz w:val="20"/>
                <w:szCs w:val="20"/>
              </w:rPr>
              <w:t>0 UIT</w:t>
            </w:r>
          </w:p>
        </w:tc>
      </w:tr>
      <w:tr w:rsidR="00625F36" w:rsidRPr="00665C4E" w:rsidTr="00FF3CDF">
        <w:trPr>
          <w:trHeight w:val="503"/>
        </w:trPr>
        <w:tc>
          <w:tcPr>
            <w:tcW w:w="100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21</w:t>
            </w:r>
            <w:r w:rsidRPr="00665C4E">
              <w:rPr>
                <w:rFonts w:ascii="Arial Narrow" w:hAnsi="Arial Narrow" w:cs="Arial"/>
                <w:sz w:val="20"/>
                <w:szCs w:val="20"/>
              </w:rPr>
              <w:t>.</w:t>
            </w:r>
          </w:p>
        </w:tc>
        <w:tc>
          <w:tcPr>
            <w:tcW w:w="8732" w:type="dxa"/>
          </w:tcPr>
          <w:p w:rsidR="00625F36" w:rsidRPr="00665C4E" w:rsidRDefault="00625F36" w:rsidP="0016794A">
            <w:pPr>
              <w:jc w:val="both"/>
              <w:rPr>
                <w:rFonts w:ascii="Arial Narrow" w:hAnsi="Arial Narrow" w:cs="Arial"/>
                <w:sz w:val="20"/>
                <w:szCs w:val="20"/>
              </w:rPr>
            </w:pPr>
            <w:r>
              <w:rPr>
                <w:rFonts w:ascii="Arial Narrow" w:hAnsi="Arial Narrow" w:cs="Arial"/>
                <w:sz w:val="20"/>
                <w:szCs w:val="20"/>
              </w:rPr>
              <w:t xml:space="preserve">No permitir que el oficial de cumplimiento se desempeñe a dedicación exclusiva, </w:t>
            </w:r>
            <w:r w:rsidRPr="00522A9E">
              <w:rPr>
                <w:rFonts w:ascii="Arial Narrow" w:hAnsi="Arial Narrow" w:cs="Arial"/>
                <w:sz w:val="20"/>
                <w:szCs w:val="20"/>
              </w:rPr>
              <w:t>cuando corresponda.</w:t>
            </w:r>
          </w:p>
        </w:tc>
        <w:tc>
          <w:tcPr>
            <w:tcW w:w="1221"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15</w:t>
            </w:r>
            <w:r>
              <w:rPr>
                <w:rFonts w:ascii="Arial Narrow" w:hAnsi="Arial Narrow" w:cs="Arial"/>
                <w:sz w:val="20"/>
                <w:szCs w:val="20"/>
              </w:rPr>
              <w:t xml:space="preserve"> UIT</w:t>
            </w:r>
          </w:p>
        </w:tc>
      </w:tr>
      <w:tr w:rsidR="00625F36" w:rsidRPr="00665C4E" w:rsidTr="00FF3CDF">
        <w:trPr>
          <w:trHeight w:val="563"/>
        </w:trPr>
        <w:tc>
          <w:tcPr>
            <w:tcW w:w="100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22</w:t>
            </w:r>
            <w:r w:rsidRPr="00665C4E">
              <w:rPr>
                <w:rFonts w:ascii="Arial Narrow" w:hAnsi="Arial Narrow" w:cs="Arial"/>
                <w:sz w:val="20"/>
                <w:szCs w:val="20"/>
              </w:rPr>
              <w:t>.</w:t>
            </w:r>
          </w:p>
        </w:tc>
        <w:tc>
          <w:tcPr>
            <w:tcW w:w="873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brindar al </w:t>
            </w:r>
            <w:r>
              <w:rPr>
                <w:rFonts w:ascii="Arial Narrow" w:hAnsi="Arial Narrow" w:cs="Arial"/>
                <w:sz w:val="20"/>
                <w:szCs w:val="20"/>
              </w:rPr>
              <w:t>o</w:t>
            </w:r>
            <w:r w:rsidRPr="00665C4E">
              <w:rPr>
                <w:rFonts w:ascii="Arial Narrow" w:hAnsi="Arial Narrow" w:cs="Arial"/>
                <w:sz w:val="20"/>
                <w:szCs w:val="20"/>
              </w:rPr>
              <w:t xml:space="preserve">ficial de </w:t>
            </w:r>
            <w:r>
              <w:rPr>
                <w:rFonts w:ascii="Arial Narrow" w:hAnsi="Arial Narrow" w:cs="Arial"/>
                <w:sz w:val="20"/>
                <w:szCs w:val="20"/>
              </w:rPr>
              <w:t>cumplimiento las condiciones pa</w:t>
            </w:r>
            <w:r w:rsidRPr="00665C4E">
              <w:rPr>
                <w:rFonts w:ascii="Arial Narrow" w:hAnsi="Arial Narrow" w:cs="Arial"/>
                <w:sz w:val="20"/>
                <w:szCs w:val="20"/>
              </w:rPr>
              <w:t xml:space="preserve">ra </w:t>
            </w:r>
            <w:r>
              <w:rPr>
                <w:rFonts w:ascii="Arial Narrow" w:hAnsi="Arial Narrow" w:cs="Arial"/>
                <w:sz w:val="20"/>
                <w:szCs w:val="20"/>
              </w:rPr>
              <w:t>desempeñar sus funciones c</w:t>
            </w:r>
            <w:r w:rsidRPr="00665C4E">
              <w:rPr>
                <w:rFonts w:ascii="Arial Narrow" w:hAnsi="Arial Narrow" w:cs="Arial"/>
                <w:sz w:val="20"/>
                <w:szCs w:val="20"/>
              </w:rPr>
              <w:t>on absoluta autonomía e independencia.</w:t>
            </w:r>
          </w:p>
        </w:tc>
        <w:tc>
          <w:tcPr>
            <w:tcW w:w="1221"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15</w:t>
            </w:r>
            <w:r>
              <w:rPr>
                <w:rFonts w:ascii="Arial Narrow" w:hAnsi="Arial Narrow" w:cs="Arial"/>
                <w:sz w:val="20"/>
                <w:szCs w:val="20"/>
              </w:rPr>
              <w:t xml:space="preserve"> UIT</w:t>
            </w:r>
          </w:p>
        </w:tc>
      </w:tr>
      <w:tr w:rsidR="00625F36" w:rsidRPr="00665C4E" w:rsidTr="00FF3CDF">
        <w:trPr>
          <w:trHeight w:val="605"/>
        </w:trPr>
        <w:tc>
          <w:tcPr>
            <w:tcW w:w="100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23</w:t>
            </w:r>
            <w:r w:rsidRPr="00665C4E">
              <w:rPr>
                <w:rFonts w:ascii="Arial Narrow" w:hAnsi="Arial Narrow" w:cs="Arial"/>
                <w:sz w:val="20"/>
                <w:szCs w:val="20"/>
              </w:rPr>
              <w:t>.</w:t>
            </w:r>
          </w:p>
        </w:tc>
        <w:tc>
          <w:tcPr>
            <w:tcW w:w="873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Mantener el cargo de </w:t>
            </w:r>
            <w:r>
              <w:rPr>
                <w:rFonts w:ascii="Arial Narrow" w:hAnsi="Arial Narrow" w:cs="Arial"/>
                <w:sz w:val="20"/>
                <w:szCs w:val="20"/>
              </w:rPr>
              <w:t>o</w:t>
            </w:r>
            <w:r w:rsidRPr="00665C4E">
              <w:rPr>
                <w:rFonts w:ascii="Arial Narrow" w:hAnsi="Arial Narrow" w:cs="Arial"/>
                <w:sz w:val="20"/>
                <w:szCs w:val="20"/>
              </w:rPr>
              <w:t xml:space="preserve">ficial de </w:t>
            </w:r>
            <w:r>
              <w:rPr>
                <w:rFonts w:ascii="Arial Narrow" w:hAnsi="Arial Narrow" w:cs="Arial"/>
                <w:sz w:val="20"/>
                <w:szCs w:val="20"/>
              </w:rPr>
              <w:t>c</w:t>
            </w:r>
            <w:r w:rsidRPr="00665C4E">
              <w:rPr>
                <w:rFonts w:ascii="Arial Narrow" w:hAnsi="Arial Narrow" w:cs="Arial"/>
                <w:sz w:val="20"/>
                <w:szCs w:val="20"/>
              </w:rPr>
              <w:t>umplimiento en situación de vacancia por más de treinta (30) días calendario</w:t>
            </w:r>
            <w:r>
              <w:rPr>
                <w:rFonts w:ascii="Arial Narrow" w:hAnsi="Arial Narrow" w:cs="Arial"/>
                <w:sz w:val="20"/>
                <w:szCs w:val="20"/>
              </w:rPr>
              <w:t xml:space="preserve"> desde la fecha en que se produjo.</w:t>
            </w:r>
          </w:p>
        </w:tc>
        <w:tc>
          <w:tcPr>
            <w:tcW w:w="1221"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15</w:t>
            </w:r>
            <w:r>
              <w:rPr>
                <w:rFonts w:ascii="Arial Narrow" w:hAnsi="Arial Narrow" w:cs="Arial"/>
                <w:sz w:val="20"/>
                <w:szCs w:val="20"/>
              </w:rPr>
              <w:t xml:space="preserve"> UIT</w:t>
            </w:r>
          </w:p>
        </w:tc>
      </w:tr>
      <w:tr w:rsidR="00625F36" w:rsidRPr="00665C4E" w:rsidTr="00FF3CDF">
        <w:trPr>
          <w:trHeight w:val="391"/>
        </w:trPr>
        <w:tc>
          <w:tcPr>
            <w:tcW w:w="1002"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24</w:t>
            </w:r>
            <w:r w:rsidRPr="00665C4E">
              <w:rPr>
                <w:rFonts w:ascii="Arial Narrow" w:hAnsi="Arial Narrow" w:cs="Arial"/>
                <w:sz w:val="20"/>
                <w:szCs w:val="20"/>
              </w:rPr>
              <w:t>.</w:t>
            </w:r>
          </w:p>
        </w:tc>
        <w:tc>
          <w:tcPr>
            <w:tcW w:w="8732"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mantener </w:t>
            </w:r>
            <w:r>
              <w:rPr>
                <w:rFonts w:ascii="Arial Narrow" w:hAnsi="Arial Narrow" w:cs="Arial"/>
                <w:sz w:val="20"/>
                <w:szCs w:val="20"/>
              </w:rPr>
              <w:t xml:space="preserve">la identidad </w:t>
            </w:r>
            <w:r w:rsidRPr="00665C4E">
              <w:rPr>
                <w:rFonts w:ascii="Arial Narrow" w:hAnsi="Arial Narrow" w:cs="Arial"/>
                <w:sz w:val="20"/>
                <w:szCs w:val="20"/>
              </w:rPr>
              <w:t xml:space="preserve">del </w:t>
            </w:r>
            <w:r>
              <w:rPr>
                <w:rFonts w:ascii="Arial Narrow" w:hAnsi="Arial Narrow" w:cs="Arial"/>
                <w:sz w:val="20"/>
                <w:szCs w:val="20"/>
              </w:rPr>
              <w:t>o</w:t>
            </w:r>
            <w:r w:rsidRPr="00665C4E">
              <w:rPr>
                <w:rFonts w:ascii="Arial Narrow" w:hAnsi="Arial Narrow" w:cs="Arial"/>
                <w:sz w:val="20"/>
                <w:szCs w:val="20"/>
              </w:rPr>
              <w:t xml:space="preserve">ficial de </w:t>
            </w:r>
            <w:r>
              <w:rPr>
                <w:rFonts w:ascii="Arial Narrow" w:hAnsi="Arial Narrow" w:cs="Arial"/>
                <w:sz w:val="20"/>
                <w:szCs w:val="20"/>
              </w:rPr>
              <w:t>c</w:t>
            </w:r>
            <w:r w:rsidRPr="00665C4E">
              <w:rPr>
                <w:rFonts w:ascii="Arial Narrow" w:hAnsi="Arial Narrow" w:cs="Arial"/>
                <w:sz w:val="20"/>
                <w:szCs w:val="20"/>
              </w:rPr>
              <w:t xml:space="preserve">umplimiento </w:t>
            </w:r>
            <w:r>
              <w:rPr>
                <w:rFonts w:ascii="Arial Narrow" w:hAnsi="Arial Narrow" w:cs="Arial"/>
                <w:sz w:val="20"/>
                <w:szCs w:val="20"/>
              </w:rPr>
              <w:t>en confidencialidad.</w:t>
            </w:r>
          </w:p>
        </w:tc>
        <w:tc>
          <w:tcPr>
            <w:tcW w:w="1221"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20</w:t>
            </w:r>
            <w:r>
              <w:rPr>
                <w:rFonts w:ascii="Arial Narrow" w:hAnsi="Arial Narrow" w:cs="Arial"/>
                <w:sz w:val="20"/>
                <w:szCs w:val="20"/>
              </w:rPr>
              <w:t xml:space="preserve"> UIT</w:t>
            </w:r>
          </w:p>
        </w:tc>
      </w:tr>
      <w:tr w:rsidR="00625F36" w:rsidRPr="00665C4E" w:rsidTr="00FF3CDF">
        <w:trPr>
          <w:trHeight w:val="433"/>
        </w:trPr>
        <w:tc>
          <w:tcPr>
            <w:tcW w:w="1002" w:type="dxa"/>
            <w:tcBorders>
              <w:top w:val="single" w:sz="4" w:space="0" w:color="auto"/>
              <w:left w:val="single" w:sz="4" w:space="0" w:color="auto"/>
              <w:bottom w:val="single" w:sz="4" w:space="0" w:color="auto"/>
              <w:right w:val="single" w:sz="4" w:space="0" w:color="auto"/>
            </w:tcBorders>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25.</w:t>
            </w:r>
          </w:p>
        </w:tc>
        <w:tc>
          <w:tcPr>
            <w:tcW w:w="8732" w:type="dxa"/>
            <w:tcBorders>
              <w:top w:val="single" w:sz="4" w:space="0" w:color="auto"/>
              <w:left w:val="single" w:sz="4" w:space="0" w:color="auto"/>
              <w:bottom w:val="single" w:sz="4" w:space="0" w:color="auto"/>
              <w:right w:val="single" w:sz="4" w:space="0" w:color="auto"/>
            </w:tcBorders>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contar con un </w:t>
            </w:r>
            <w:r>
              <w:rPr>
                <w:rFonts w:ascii="Arial Narrow" w:hAnsi="Arial Narrow" w:cs="Arial"/>
                <w:sz w:val="20"/>
                <w:szCs w:val="20"/>
              </w:rPr>
              <w:t>o</w:t>
            </w:r>
            <w:r w:rsidRPr="00665C4E">
              <w:rPr>
                <w:rFonts w:ascii="Arial Narrow" w:hAnsi="Arial Narrow" w:cs="Arial"/>
                <w:sz w:val="20"/>
                <w:szCs w:val="20"/>
              </w:rPr>
              <w:t xml:space="preserve">ficial de </w:t>
            </w:r>
            <w:r>
              <w:rPr>
                <w:rFonts w:ascii="Arial Narrow" w:hAnsi="Arial Narrow" w:cs="Arial"/>
                <w:sz w:val="20"/>
                <w:szCs w:val="20"/>
              </w:rPr>
              <w:t>cumplimiento.</w:t>
            </w:r>
          </w:p>
        </w:tc>
        <w:tc>
          <w:tcPr>
            <w:tcW w:w="1221"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20</w:t>
            </w:r>
            <w:r>
              <w:rPr>
                <w:rFonts w:ascii="Arial Narrow" w:hAnsi="Arial Narrow" w:cs="Arial"/>
                <w:sz w:val="20"/>
                <w:szCs w:val="20"/>
              </w:rPr>
              <w:t xml:space="preserve"> UIT</w:t>
            </w:r>
          </w:p>
        </w:tc>
      </w:tr>
    </w:tbl>
    <w:p w:rsidR="00175AE5" w:rsidRDefault="00175AE5" w:rsidP="00175AE5">
      <w:pPr>
        <w:spacing w:line="240" w:lineRule="auto"/>
        <w:jc w:val="both"/>
        <w:rPr>
          <w:rFonts w:ascii="Arial Narrow" w:hAnsi="Arial Narrow" w:cs="Arial"/>
          <w:b/>
          <w:sz w:val="20"/>
          <w:szCs w:val="20"/>
        </w:rPr>
      </w:pPr>
    </w:p>
    <w:p w:rsidR="00625F36" w:rsidRPr="00665C4E" w:rsidRDefault="00625F36" w:rsidP="00625F36">
      <w:pPr>
        <w:jc w:val="both"/>
        <w:rPr>
          <w:rFonts w:ascii="Arial Narrow" w:hAnsi="Arial Narrow" w:cs="Arial"/>
          <w:b/>
          <w:sz w:val="20"/>
          <w:szCs w:val="20"/>
        </w:rPr>
      </w:pPr>
      <w:r w:rsidRPr="00665C4E">
        <w:rPr>
          <w:rFonts w:ascii="Arial Narrow" w:hAnsi="Arial Narrow" w:cs="Arial"/>
          <w:b/>
          <w:sz w:val="20"/>
          <w:szCs w:val="20"/>
        </w:rPr>
        <w:t xml:space="preserve">Con relación al </w:t>
      </w:r>
      <w:r>
        <w:rPr>
          <w:rFonts w:ascii="Arial Narrow" w:hAnsi="Arial Narrow" w:cs="Arial"/>
          <w:b/>
          <w:sz w:val="20"/>
          <w:szCs w:val="20"/>
        </w:rPr>
        <w:t>i</w:t>
      </w:r>
      <w:r w:rsidRPr="00665C4E">
        <w:rPr>
          <w:rFonts w:ascii="Arial Narrow" w:hAnsi="Arial Narrow" w:cs="Arial"/>
          <w:b/>
          <w:sz w:val="20"/>
          <w:szCs w:val="20"/>
        </w:rPr>
        <w:t xml:space="preserve">nforme </w:t>
      </w:r>
      <w:r>
        <w:rPr>
          <w:rFonts w:ascii="Arial Narrow" w:hAnsi="Arial Narrow" w:cs="Arial"/>
          <w:b/>
          <w:sz w:val="20"/>
          <w:szCs w:val="20"/>
        </w:rPr>
        <w:t>s</w:t>
      </w:r>
      <w:r w:rsidRPr="00665C4E">
        <w:rPr>
          <w:rFonts w:ascii="Arial Narrow" w:hAnsi="Arial Narrow" w:cs="Arial"/>
          <w:b/>
          <w:sz w:val="20"/>
          <w:szCs w:val="20"/>
        </w:rPr>
        <w:t xml:space="preserve">emestral del </w:t>
      </w:r>
      <w:r>
        <w:rPr>
          <w:rFonts w:ascii="Arial Narrow" w:hAnsi="Arial Narrow" w:cs="Arial"/>
          <w:b/>
          <w:sz w:val="20"/>
          <w:szCs w:val="20"/>
        </w:rPr>
        <w:t>o</w:t>
      </w:r>
      <w:r w:rsidRPr="00665C4E">
        <w:rPr>
          <w:rFonts w:ascii="Arial Narrow" w:hAnsi="Arial Narrow" w:cs="Arial"/>
          <w:b/>
          <w:sz w:val="20"/>
          <w:szCs w:val="20"/>
        </w:rPr>
        <w:t xml:space="preserve">ficial de </w:t>
      </w:r>
      <w:r>
        <w:rPr>
          <w:rFonts w:ascii="Arial Narrow" w:hAnsi="Arial Narrow" w:cs="Arial"/>
          <w:b/>
          <w:sz w:val="20"/>
          <w:szCs w:val="20"/>
        </w:rPr>
        <w:t>c</w:t>
      </w:r>
      <w:r w:rsidRPr="00665C4E">
        <w:rPr>
          <w:rFonts w:ascii="Arial Narrow" w:hAnsi="Arial Narrow" w:cs="Arial"/>
          <w:b/>
          <w:sz w:val="20"/>
          <w:szCs w:val="20"/>
        </w:rPr>
        <w:t>umplimiento</w:t>
      </w: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8744"/>
        <w:gridCol w:w="1223"/>
      </w:tblGrid>
      <w:tr w:rsidR="00625F36" w:rsidRPr="008F1004" w:rsidTr="00FF3CDF">
        <w:trPr>
          <w:trHeight w:val="375"/>
        </w:trPr>
        <w:tc>
          <w:tcPr>
            <w:tcW w:w="1003" w:type="dxa"/>
            <w:shd w:val="clear" w:color="auto" w:fill="F2F2F2" w:themeFill="background1" w:themeFillShade="F2"/>
          </w:tcPr>
          <w:p w:rsidR="00625F36" w:rsidRPr="008F1004" w:rsidRDefault="00625F36" w:rsidP="0016794A">
            <w:pPr>
              <w:jc w:val="center"/>
              <w:rPr>
                <w:rFonts w:ascii="Arial Narrow" w:hAnsi="Arial Narrow" w:cs="Arial"/>
                <w:b/>
                <w:sz w:val="20"/>
                <w:szCs w:val="20"/>
              </w:rPr>
            </w:pPr>
            <w:r w:rsidRPr="008F1004">
              <w:rPr>
                <w:rFonts w:ascii="Arial Narrow" w:hAnsi="Arial Narrow" w:cs="Arial"/>
                <w:b/>
                <w:sz w:val="20"/>
                <w:szCs w:val="20"/>
              </w:rPr>
              <w:t>#</w:t>
            </w:r>
          </w:p>
        </w:tc>
        <w:tc>
          <w:tcPr>
            <w:tcW w:w="8744" w:type="dxa"/>
            <w:shd w:val="clear" w:color="auto" w:fill="F2F2F2" w:themeFill="background1" w:themeFillShade="F2"/>
          </w:tcPr>
          <w:p w:rsidR="00625F36" w:rsidRPr="008F1004" w:rsidRDefault="00625F36" w:rsidP="0016794A">
            <w:pPr>
              <w:pStyle w:val="Prrafodelista"/>
              <w:ind w:left="33"/>
              <w:jc w:val="both"/>
              <w:rPr>
                <w:rFonts w:eastAsia="Calibri" w:cs="Arial"/>
                <w:b/>
                <w:sz w:val="20"/>
                <w:szCs w:val="20"/>
              </w:rPr>
            </w:pPr>
            <w:r w:rsidRPr="008F1004">
              <w:rPr>
                <w:rFonts w:eastAsia="Calibri" w:cs="Arial"/>
                <w:b/>
                <w:sz w:val="20"/>
                <w:szCs w:val="20"/>
              </w:rPr>
              <w:t xml:space="preserve">INFRACCIÓN </w:t>
            </w:r>
          </w:p>
        </w:tc>
        <w:tc>
          <w:tcPr>
            <w:tcW w:w="1223" w:type="dxa"/>
            <w:shd w:val="clear" w:color="auto" w:fill="F2F2F2" w:themeFill="background1" w:themeFillShade="F2"/>
          </w:tcPr>
          <w:p w:rsidR="00625F36" w:rsidRPr="008F1004" w:rsidRDefault="00625F36" w:rsidP="0016794A">
            <w:pPr>
              <w:jc w:val="center"/>
              <w:rPr>
                <w:rFonts w:ascii="Arial Narrow" w:hAnsi="Arial Narrow" w:cs="Arial"/>
                <w:b/>
                <w:sz w:val="20"/>
                <w:szCs w:val="20"/>
              </w:rPr>
            </w:pPr>
            <w:r w:rsidRPr="008F1004">
              <w:rPr>
                <w:rFonts w:ascii="Arial Narrow" w:hAnsi="Arial Narrow" w:cs="Arial"/>
                <w:b/>
                <w:sz w:val="20"/>
                <w:szCs w:val="20"/>
              </w:rPr>
              <w:t>SANCIÓN</w:t>
            </w:r>
          </w:p>
        </w:tc>
      </w:tr>
      <w:tr w:rsidR="00625F36" w:rsidRPr="00665C4E" w:rsidTr="00FF3CDF">
        <w:trPr>
          <w:trHeight w:val="526"/>
        </w:trPr>
        <w:tc>
          <w:tcPr>
            <w:tcW w:w="1003"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26</w:t>
            </w:r>
            <w:r w:rsidRPr="00665C4E">
              <w:rPr>
                <w:rFonts w:ascii="Arial Narrow" w:hAnsi="Arial Narrow" w:cs="Arial"/>
                <w:sz w:val="20"/>
                <w:szCs w:val="20"/>
              </w:rPr>
              <w:t>.</w:t>
            </w:r>
          </w:p>
        </w:tc>
        <w:tc>
          <w:tcPr>
            <w:tcW w:w="8744" w:type="dxa"/>
          </w:tcPr>
          <w:p w:rsidR="00625F36" w:rsidRPr="00665C4E" w:rsidRDefault="00625F36" w:rsidP="0016794A">
            <w:pPr>
              <w:pStyle w:val="Prrafodelista"/>
              <w:ind w:left="34"/>
              <w:jc w:val="both"/>
              <w:rPr>
                <w:rFonts w:cs="Arial"/>
                <w:sz w:val="20"/>
                <w:szCs w:val="20"/>
              </w:rPr>
            </w:pPr>
            <w:r w:rsidRPr="00665C4E">
              <w:rPr>
                <w:rFonts w:cs="Arial"/>
                <w:sz w:val="20"/>
                <w:szCs w:val="20"/>
              </w:rPr>
              <w:t xml:space="preserve">No remitir </w:t>
            </w:r>
            <w:r>
              <w:rPr>
                <w:rFonts w:cs="Arial"/>
                <w:sz w:val="20"/>
                <w:szCs w:val="20"/>
              </w:rPr>
              <w:t xml:space="preserve">a la DGJCMT el informe semestral elaborado por </w:t>
            </w:r>
            <w:r w:rsidRPr="00665C4E">
              <w:rPr>
                <w:rFonts w:cs="Arial"/>
                <w:sz w:val="20"/>
                <w:szCs w:val="20"/>
              </w:rPr>
              <w:t xml:space="preserve">el </w:t>
            </w:r>
            <w:r>
              <w:rPr>
                <w:rFonts w:cs="Arial"/>
                <w:sz w:val="20"/>
                <w:szCs w:val="20"/>
              </w:rPr>
              <w:t>o</w:t>
            </w:r>
            <w:r w:rsidRPr="00665C4E">
              <w:rPr>
                <w:rFonts w:cs="Arial"/>
                <w:sz w:val="20"/>
                <w:szCs w:val="20"/>
              </w:rPr>
              <w:t xml:space="preserve">ficial de </w:t>
            </w:r>
            <w:r>
              <w:rPr>
                <w:rFonts w:cs="Arial"/>
                <w:sz w:val="20"/>
                <w:szCs w:val="20"/>
              </w:rPr>
              <w:t>c</w:t>
            </w:r>
            <w:r w:rsidRPr="00665C4E">
              <w:rPr>
                <w:rFonts w:cs="Arial"/>
                <w:sz w:val="20"/>
                <w:szCs w:val="20"/>
              </w:rPr>
              <w:t>umplimiento dentro del plazo establecido en las normas vigentes.</w:t>
            </w:r>
          </w:p>
        </w:tc>
        <w:tc>
          <w:tcPr>
            <w:tcW w:w="1223"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15</w:t>
            </w:r>
            <w:r>
              <w:rPr>
                <w:rFonts w:ascii="Arial Narrow" w:hAnsi="Arial Narrow" w:cs="Arial"/>
                <w:sz w:val="20"/>
                <w:szCs w:val="20"/>
              </w:rPr>
              <w:t xml:space="preserve"> UIT</w:t>
            </w:r>
          </w:p>
        </w:tc>
      </w:tr>
    </w:tbl>
    <w:p w:rsidR="00175AE5" w:rsidRDefault="00175AE5" w:rsidP="00625F36">
      <w:pPr>
        <w:rPr>
          <w:rFonts w:ascii="Arial Narrow" w:hAnsi="Arial Narrow" w:cs="Arial"/>
          <w:b/>
          <w:sz w:val="20"/>
          <w:szCs w:val="20"/>
        </w:rPr>
      </w:pPr>
    </w:p>
    <w:p w:rsidR="00625F36" w:rsidRPr="00665C4E" w:rsidRDefault="00625F36" w:rsidP="00625F36">
      <w:pPr>
        <w:rPr>
          <w:rFonts w:ascii="Arial Narrow" w:hAnsi="Arial Narrow" w:cs="Arial"/>
          <w:b/>
          <w:sz w:val="20"/>
          <w:szCs w:val="20"/>
        </w:rPr>
      </w:pPr>
      <w:r>
        <w:rPr>
          <w:rFonts w:ascii="Arial Narrow" w:hAnsi="Arial Narrow" w:cs="Arial"/>
          <w:b/>
          <w:sz w:val="20"/>
          <w:szCs w:val="20"/>
        </w:rPr>
        <w:t xml:space="preserve">Con relación al </w:t>
      </w:r>
      <w:r w:rsidRPr="00665C4E">
        <w:rPr>
          <w:rFonts w:ascii="Arial Narrow" w:hAnsi="Arial Narrow" w:cs="Arial"/>
          <w:b/>
          <w:sz w:val="20"/>
          <w:szCs w:val="20"/>
        </w:rPr>
        <w:t xml:space="preserve">registro de </w:t>
      </w:r>
      <w:r>
        <w:rPr>
          <w:rFonts w:ascii="Arial Narrow" w:hAnsi="Arial Narrow" w:cs="Arial"/>
          <w:b/>
          <w:sz w:val="20"/>
          <w:szCs w:val="20"/>
        </w:rPr>
        <w:t>g</w:t>
      </w:r>
      <w:r w:rsidRPr="00665C4E">
        <w:rPr>
          <w:rFonts w:ascii="Arial Narrow" w:hAnsi="Arial Narrow" w:cs="Arial"/>
          <w:b/>
          <w:sz w:val="20"/>
          <w:szCs w:val="20"/>
        </w:rPr>
        <w:t xml:space="preserve">anadores de </w:t>
      </w:r>
      <w:r>
        <w:rPr>
          <w:rFonts w:ascii="Arial Narrow" w:hAnsi="Arial Narrow" w:cs="Arial"/>
          <w:b/>
          <w:sz w:val="20"/>
          <w:szCs w:val="20"/>
        </w:rPr>
        <w:t>p</w:t>
      </w:r>
      <w:r w:rsidRPr="00665C4E">
        <w:rPr>
          <w:rFonts w:ascii="Arial Narrow" w:hAnsi="Arial Narrow" w:cs="Arial"/>
          <w:b/>
          <w:sz w:val="20"/>
          <w:szCs w:val="20"/>
        </w:rPr>
        <w:t>remios</w:t>
      </w:r>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8704"/>
        <w:gridCol w:w="1218"/>
      </w:tblGrid>
      <w:tr w:rsidR="00625F36" w:rsidRPr="00665C4E" w:rsidTr="00FF3CDF">
        <w:trPr>
          <w:trHeight w:val="473"/>
        </w:trPr>
        <w:tc>
          <w:tcPr>
            <w:tcW w:w="1003" w:type="dxa"/>
            <w:shd w:val="clear" w:color="auto" w:fill="F2F2F2" w:themeFill="background1" w:themeFillShade="F2"/>
          </w:tcPr>
          <w:p w:rsidR="00625F36" w:rsidRPr="002F4046" w:rsidRDefault="00625F36" w:rsidP="0016794A">
            <w:pPr>
              <w:jc w:val="center"/>
              <w:rPr>
                <w:rFonts w:ascii="Arial Narrow" w:hAnsi="Arial Narrow" w:cs="Arial"/>
                <w:b/>
                <w:sz w:val="20"/>
                <w:szCs w:val="20"/>
              </w:rPr>
            </w:pPr>
            <w:r w:rsidRPr="002F4046">
              <w:rPr>
                <w:rFonts w:ascii="Arial Narrow" w:hAnsi="Arial Narrow" w:cs="Arial"/>
                <w:b/>
                <w:sz w:val="20"/>
                <w:szCs w:val="20"/>
              </w:rPr>
              <w:t>#</w:t>
            </w:r>
          </w:p>
        </w:tc>
        <w:tc>
          <w:tcPr>
            <w:tcW w:w="8704" w:type="dxa"/>
            <w:shd w:val="clear" w:color="auto" w:fill="F2F2F2" w:themeFill="background1" w:themeFillShade="F2"/>
          </w:tcPr>
          <w:p w:rsidR="00625F36" w:rsidRPr="002F4046" w:rsidRDefault="00625F36" w:rsidP="0016794A">
            <w:pPr>
              <w:pStyle w:val="Prrafodelista"/>
              <w:ind w:left="33"/>
              <w:jc w:val="both"/>
              <w:rPr>
                <w:rFonts w:eastAsia="Calibri" w:cs="Arial"/>
                <w:b/>
                <w:sz w:val="20"/>
                <w:szCs w:val="20"/>
              </w:rPr>
            </w:pPr>
            <w:r w:rsidRPr="002F4046">
              <w:rPr>
                <w:rFonts w:eastAsia="Calibri" w:cs="Arial"/>
                <w:b/>
                <w:sz w:val="20"/>
                <w:szCs w:val="20"/>
              </w:rPr>
              <w:t xml:space="preserve">INFRACCIÓN </w:t>
            </w:r>
          </w:p>
        </w:tc>
        <w:tc>
          <w:tcPr>
            <w:tcW w:w="1218" w:type="dxa"/>
            <w:shd w:val="clear" w:color="auto" w:fill="F2F2F2" w:themeFill="background1" w:themeFillShade="F2"/>
          </w:tcPr>
          <w:p w:rsidR="00625F36" w:rsidRPr="002F4046" w:rsidRDefault="00625F36" w:rsidP="0016794A">
            <w:pPr>
              <w:jc w:val="center"/>
              <w:rPr>
                <w:rFonts w:ascii="Arial Narrow" w:hAnsi="Arial Narrow" w:cs="Arial"/>
                <w:b/>
                <w:sz w:val="20"/>
                <w:szCs w:val="20"/>
              </w:rPr>
            </w:pPr>
            <w:r w:rsidRPr="002F4046">
              <w:rPr>
                <w:rFonts w:ascii="Arial Narrow" w:hAnsi="Arial Narrow" w:cs="Arial"/>
                <w:b/>
                <w:sz w:val="20"/>
                <w:szCs w:val="20"/>
              </w:rPr>
              <w:t>SANCIÓN</w:t>
            </w:r>
          </w:p>
        </w:tc>
      </w:tr>
      <w:tr w:rsidR="00625F36" w:rsidRPr="00665C4E" w:rsidTr="00FF3CDF">
        <w:trPr>
          <w:trHeight w:val="433"/>
        </w:trPr>
        <w:tc>
          <w:tcPr>
            <w:tcW w:w="1003"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27</w:t>
            </w:r>
            <w:r w:rsidRPr="00665C4E">
              <w:rPr>
                <w:rFonts w:ascii="Arial Narrow" w:hAnsi="Arial Narrow" w:cs="Arial"/>
                <w:sz w:val="20"/>
                <w:szCs w:val="20"/>
              </w:rPr>
              <w:t>.</w:t>
            </w:r>
          </w:p>
        </w:tc>
        <w:tc>
          <w:tcPr>
            <w:tcW w:w="8704" w:type="dxa"/>
          </w:tcPr>
          <w:p w:rsidR="00625F36" w:rsidRPr="00665C4E" w:rsidRDefault="00625F36" w:rsidP="0016794A">
            <w:pPr>
              <w:jc w:val="both"/>
              <w:rPr>
                <w:rFonts w:ascii="Arial Narrow" w:hAnsi="Arial Narrow" w:cs="Arial"/>
                <w:sz w:val="20"/>
                <w:szCs w:val="20"/>
              </w:rPr>
            </w:pPr>
            <w:r w:rsidRPr="00665C4E">
              <w:rPr>
                <w:rFonts w:ascii="Arial Narrow" w:hAnsi="Arial Narrow" w:cs="Arial"/>
                <w:sz w:val="20"/>
                <w:szCs w:val="20"/>
              </w:rPr>
              <w:t xml:space="preserve">No poner a disposición y/o remitir </w:t>
            </w:r>
            <w:r>
              <w:rPr>
                <w:rFonts w:ascii="Arial Narrow" w:hAnsi="Arial Narrow" w:cs="Arial"/>
                <w:sz w:val="20"/>
                <w:szCs w:val="20"/>
              </w:rPr>
              <w:t>el r</w:t>
            </w:r>
            <w:r w:rsidRPr="00665C4E">
              <w:rPr>
                <w:rFonts w:ascii="Arial Narrow" w:hAnsi="Arial Narrow" w:cs="Arial"/>
                <w:sz w:val="20"/>
                <w:szCs w:val="20"/>
              </w:rPr>
              <w:t xml:space="preserve">egistro de </w:t>
            </w:r>
            <w:r>
              <w:rPr>
                <w:rFonts w:ascii="Arial Narrow" w:hAnsi="Arial Narrow" w:cs="Arial"/>
                <w:sz w:val="20"/>
                <w:szCs w:val="20"/>
              </w:rPr>
              <w:t>g</w:t>
            </w:r>
            <w:r w:rsidRPr="00665C4E">
              <w:rPr>
                <w:rFonts w:ascii="Arial Narrow" w:hAnsi="Arial Narrow" w:cs="Arial"/>
                <w:sz w:val="20"/>
                <w:szCs w:val="20"/>
              </w:rPr>
              <w:t xml:space="preserve">anadores de </w:t>
            </w:r>
            <w:r>
              <w:rPr>
                <w:rFonts w:ascii="Arial Narrow" w:hAnsi="Arial Narrow" w:cs="Arial"/>
                <w:sz w:val="20"/>
                <w:szCs w:val="20"/>
              </w:rPr>
              <w:t>p</w:t>
            </w:r>
            <w:r w:rsidRPr="00665C4E">
              <w:rPr>
                <w:rFonts w:ascii="Arial Narrow" w:hAnsi="Arial Narrow" w:cs="Arial"/>
                <w:sz w:val="20"/>
                <w:szCs w:val="20"/>
              </w:rPr>
              <w:t xml:space="preserve">remios </w:t>
            </w:r>
            <w:r>
              <w:rPr>
                <w:rFonts w:ascii="Arial Narrow" w:hAnsi="Arial Narrow" w:cs="Arial"/>
                <w:sz w:val="20"/>
                <w:szCs w:val="20"/>
              </w:rPr>
              <w:t>a</w:t>
            </w:r>
            <w:r w:rsidRPr="00665C4E">
              <w:rPr>
                <w:rFonts w:ascii="Arial Narrow" w:hAnsi="Arial Narrow" w:cs="Arial"/>
                <w:sz w:val="20"/>
                <w:szCs w:val="20"/>
              </w:rPr>
              <w:t xml:space="preserve"> la DGJCMT y/o </w:t>
            </w:r>
            <w:r>
              <w:rPr>
                <w:rFonts w:ascii="Arial Narrow" w:hAnsi="Arial Narrow" w:cs="Arial"/>
                <w:sz w:val="20"/>
                <w:szCs w:val="20"/>
              </w:rPr>
              <w:t>a</w:t>
            </w:r>
            <w:r w:rsidRPr="00665C4E">
              <w:rPr>
                <w:rFonts w:ascii="Arial Narrow" w:hAnsi="Arial Narrow" w:cs="Arial"/>
                <w:sz w:val="20"/>
                <w:szCs w:val="20"/>
              </w:rPr>
              <w:t xml:space="preserve"> la UIF-Perú.</w:t>
            </w:r>
          </w:p>
        </w:tc>
        <w:tc>
          <w:tcPr>
            <w:tcW w:w="1218" w:type="dxa"/>
            <w:shd w:val="clear" w:color="auto" w:fill="auto"/>
          </w:tcPr>
          <w:p w:rsidR="00625F36" w:rsidRPr="00665C4E" w:rsidRDefault="00625F36" w:rsidP="00FF3CDF">
            <w:pPr>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w:t>
            </w:r>
            <w:r>
              <w:rPr>
                <w:rFonts w:ascii="Arial Narrow" w:hAnsi="Arial Narrow" w:cs="Arial"/>
                <w:sz w:val="20"/>
                <w:szCs w:val="20"/>
              </w:rPr>
              <w:t>0 UIT</w:t>
            </w:r>
          </w:p>
        </w:tc>
      </w:tr>
      <w:tr w:rsidR="00625F36" w:rsidRPr="00665C4E" w:rsidTr="00FF3CDF">
        <w:trPr>
          <w:trHeight w:val="369"/>
        </w:trPr>
        <w:tc>
          <w:tcPr>
            <w:tcW w:w="1003"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28.</w:t>
            </w:r>
          </w:p>
        </w:tc>
        <w:tc>
          <w:tcPr>
            <w:tcW w:w="8704" w:type="dxa"/>
          </w:tcPr>
          <w:p w:rsidR="00625F36" w:rsidRPr="00113A81" w:rsidRDefault="00625F36" w:rsidP="0016794A">
            <w:pPr>
              <w:rPr>
                <w:rFonts w:ascii="Arial Narrow" w:hAnsi="Arial Narrow" w:cs="Arial"/>
                <w:sz w:val="20"/>
                <w:szCs w:val="20"/>
              </w:rPr>
            </w:pPr>
            <w:r w:rsidRPr="00113A81">
              <w:rPr>
                <w:rFonts w:ascii="Arial Narrow" w:hAnsi="Arial Narrow" w:cs="Arial"/>
                <w:sz w:val="20"/>
                <w:szCs w:val="20"/>
              </w:rPr>
              <w:t>Eliminar o excluir del registro de ganadores de premios a algún cliente ganador</w:t>
            </w:r>
          </w:p>
        </w:tc>
        <w:tc>
          <w:tcPr>
            <w:tcW w:w="1218" w:type="dxa"/>
            <w:shd w:val="clear" w:color="auto" w:fill="auto"/>
          </w:tcPr>
          <w:p w:rsidR="00625F36" w:rsidRPr="00665C4E" w:rsidRDefault="00625F36" w:rsidP="00FF3CDF">
            <w:pPr>
              <w:tabs>
                <w:tab w:val="left" w:pos="-108"/>
                <w:tab w:val="center" w:pos="388"/>
              </w:tabs>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sidRPr="00665C4E">
              <w:rPr>
                <w:rFonts w:ascii="Arial Narrow" w:hAnsi="Arial Narrow" w:cs="Arial"/>
                <w:sz w:val="20"/>
                <w:szCs w:val="20"/>
              </w:rPr>
              <w:t>1</w:t>
            </w:r>
            <w:r>
              <w:rPr>
                <w:rFonts w:ascii="Arial Narrow" w:hAnsi="Arial Narrow" w:cs="Arial"/>
                <w:sz w:val="20"/>
                <w:szCs w:val="20"/>
              </w:rPr>
              <w:t>5 UIT</w:t>
            </w:r>
          </w:p>
        </w:tc>
      </w:tr>
      <w:tr w:rsidR="00625F36" w:rsidRPr="00665C4E" w:rsidTr="00FF3CDF">
        <w:trPr>
          <w:trHeight w:val="333"/>
        </w:trPr>
        <w:tc>
          <w:tcPr>
            <w:tcW w:w="1003" w:type="dxa"/>
          </w:tcPr>
          <w:p w:rsidR="00625F36" w:rsidRPr="00665C4E" w:rsidRDefault="00625F36" w:rsidP="0016794A">
            <w:pPr>
              <w:jc w:val="center"/>
              <w:rPr>
                <w:rFonts w:ascii="Arial Narrow" w:hAnsi="Arial Narrow" w:cs="Arial"/>
                <w:sz w:val="20"/>
                <w:szCs w:val="20"/>
              </w:rPr>
            </w:pPr>
            <w:r>
              <w:rPr>
                <w:rFonts w:ascii="Arial Narrow" w:hAnsi="Arial Narrow" w:cs="Arial"/>
                <w:sz w:val="20"/>
                <w:szCs w:val="20"/>
              </w:rPr>
              <w:t>29.</w:t>
            </w:r>
          </w:p>
        </w:tc>
        <w:tc>
          <w:tcPr>
            <w:tcW w:w="8704" w:type="dxa"/>
          </w:tcPr>
          <w:p w:rsidR="00625F36" w:rsidRPr="00665C4E" w:rsidRDefault="00625F36" w:rsidP="0016794A">
            <w:pPr>
              <w:rPr>
                <w:rFonts w:ascii="Arial Narrow" w:hAnsi="Arial Narrow" w:cs="Arial"/>
                <w:sz w:val="20"/>
                <w:szCs w:val="20"/>
              </w:rPr>
            </w:pPr>
            <w:r w:rsidRPr="00665C4E">
              <w:rPr>
                <w:rFonts w:ascii="Arial Narrow" w:hAnsi="Arial Narrow" w:cs="Arial"/>
                <w:sz w:val="20"/>
                <w:szCs w:val="20"/>
              </w:rPr>
              <w:t>No contar</w:t>
            </w:r>
            <w:r>
              <w:rPr>
                <w:rFonts w:ascii="Arial Narrow" w:hAnsi="Arial Narrow" w:cs="Arial"/>
                <w:sz w:val="20"/>
                <w:szCs w:val="20"/>
              </w:rPr>
              <w:t xml:space="preserve"> con </w:t>
            </w:r>
            <w:r w:rsidRPr="00665C4E">
              <w:rPr>
                <w:rFonts w:ascii="Arial Narrow" w:hAnsi="Arial Narrow" w:cs="Arial"/>
                <w:sz w:val="20"/>
                <w:szCs w:val="20"/>
              </w:rPr>
              <w:t xml:space="preserve">el </w:t>
            </w:r>
            <w:r w:rsidRPr="00113A81">
              <w:rPr>
                <w:rFonts w:ascii="Arial Narrow" w:hAnsi="Arial Narrow" w:cs="Arial"/>
                <w:sz w:val="20"/>
                <w:szCs w:val="20"/>
              </w:rPr>
              <w:t>registro de ganadores de premios</w:t>
            </w:r>
          </w:p>
        </w:tc>
        <w:tc>
          <w:tcPr>
            <w:tcW w:w="1218" w:type="dxa"/>
            <w:shd w:val="clear" w:color="auto" w:fill="auto"/>
          </w:tcPr>
          <w:p w:rsidR="00625F36" w:rsidRDefault="00625F36" w:rsidP="00FF3CDF">
            <w:pPr>
              <w:tabs>
                <w:tab w:val="left" w:pos="-108"/>
                <w:tab w:val="center" w:pos="388"/>
              </w:tabs>
              <w:jc w:val="center"/>
              <w:rPr>
                <w:rFonts w:ascii="Arial Narrow" w:hAnsi="Arial Narrow" w:cs="Arial"/>
                <w:sz w:val="20"/>
                <w:szCs w:val="20"/>
              </w:rPr>
            </w:pPr>
            <w:r>
              <w:rPr>
                <w:rFonts w:ascii="Arial Narrow" w:hAnsi="Arial Narrow" w:cs="Arial"/>
                <w:sz w:val="20"/>
                <w:szCs w:val="20"/>
              </w:rPr>
              <w:t>Multa 20 UIT</w:t>
            </w:r>
          </w:p>
        </w:tc>
      </w:tr>
    </w:tbl>
    <w:p w:rsidR="00FF3CDF" w:rsidRDefault="00FF3CDF" w:rsidP="00625F36">
      <w:pPr>
        <w:rPr>
          <w:rFonts w:ascii="Arial Narrow" w:hAnsi="Arial Narrow" w:cs="Arial"/>
          <w:b/>
          <w:sz w:val="20"/>
          <w:szCs w:val="20"/>
        </w:rPr>
      </w:pPr>
    </w:p>
    <w:p w:rsidR="00FF3CDF" w:rsidRDefault="00625F36" w:rsidP="00FF3CDF">
      <w:pPr>
        <w:spacing w:after="0"/>
        <w:rPr>
          <w:rFonts w:ascii="Arial Narrow" w:hAnsi="Arial Narrow" w:cs="Arial"/>
          <w:b/>
          <w:sz w:val="20"/>
          <w:szCs w:val="20"/>
        </w:rPr>
      </w:pPr>
      <w:r w:rsidRPr="00665C4E">
        <w:rPr>
          <w:rFonts w:ascii="Arial Narrow" w:hAnsi="Arial Narrow" w:cs="Arial"/>
          <w:b/>
          <w:sz w:val="20"/>
          <w:szCs w:val="20"/>
        </w:rPr>
        <w:t>III. INFR</w:t>
      </w:r>
      <w:r>
        <w:rPr>
          <w:rFonts w:ascii="Arial Narrow" w:hAnsi="Arial Narrow" w:cs="Arial"/>
          <w:b/>
          <w:sz w:val="20"/>
          <w:szCs w:val="20"/>
        </w:rPr>
        <w:t>ACCIONES  MUY GRAVES</w:t>
      </w:r>
    </w:p>
    <w:p w:rsidR="00625F36" w:rsidRPr="00665C4E" w:rsidRDefault="00625F36" w:rsidP="00FF3CDF">
      <w:pPr>
        <w:spacing w:after="0"/>
        <w:rPr>
          <w:rFonts w:ascii="Arial Narrow" w:hAnsi="Arial Narrow" w:cs="Arial"/>
          <w:b/>
          <w:sz w:val="20"/>
          <w:szCs w:val="20"/>
        </w:rPr>
      </w:pPr>
      <w:r>
        <w:rPr>
          <w:rFonts w:ascii="Arial Narrow" w:hAnsi="Arial Narrow" w:cs="Arial"/>
          <w:b/>
          <w:sz w:val="20"/>
          <w:szCs w:val="20"/>
        </w:rPr>
        <w:t>Con relación al deber de reserva</w:t>
      </w:r>
    </w:p>
    <w:tbl>
      <w:tblPr>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8752"/>
        <w:gridCol w:w="1225"/>
      </w:tblGrid>
      <w:tr w:rsidR="00625F36" w:rsidRPr="00665C4E" w:rsidTr="00FF3CDF">
        <w:trPr>
          <w:trHeight w:val="309"/>
        </w:trPr>
        <w:tc>
          <w:tcPr>
            <w:tcW w:w="1009" w:type="dxa"/>
            <w:shd w:val="clear" w:color="auto" w:fill="F2F2F2" w:themeFill="background1" w:themeFillShade="F2"/>
          </w:tcPr>
          <w:p w:rsidR="00625F36" w:rsidRPr="00076E70" w:rsidRDefault="00625F36" w:rsidP="0016794A">
            <w:pPr>
              <w:jc w:val="center"/>
              <w:rPr>
                <w:rFonts w:ascii="Arial Narrow" w:hAnsi="Arial Narrow" w:cs="Arial"/>
                <w:b/>
                <w:sz w:val="20"/>
                <w:szCs w:val="20"/>
              </w:rPr>
            </w:pPr>
            <w:r w:rsidRPr="00076E70">
              <w:rPr>
                <w:rFonts w:ascii="Arial Narrow" w:hAnsi="Arial Narrow" w:cs="Arial"/>
                <w:b/>
                <w:sz w:val="20"/>
                <w:szCs w:val="20"/>
              </w:rPr>
              <w:t>#</w:t>
            </w:r>
          </w:p>
        </w:tc>
        <w:tc>
          <w:tcPr>
            <w:tcW w:w="8752" w:type="dxa"/>
            <w:shd w:val="clear" w:color="auto" w:fill="F2F2F2" w:themeFill="background1" w:themeFillShade="F2"/>
          </w:tcPr>
          <w:p w:rsidR="00625F36" w:rsidRPr="00076E70" w:rsidRDefault="00625F36" w:rsidP="0016794A">
            <w:pPr>
              <w:pStyle w:val="Prrafodelista"/>
              <w:ind w:left="33"/>
              <w:jc w:val="both"/>
              <w:rPr>
                <w:rFonts w:eastAsia="Calibri" w:cs="Arial"/>
                <w:b/>
                <w:sz w:val="20"/>
                <w:szCs w:val="20"/>
              </w:rPr>
            </w:pPr>
            <w:r w:rsidRPr="00076E70">
              <w:rPr>
                <w:rFonts w:eastAsia="Calibri" w:cs="Arial"/>
                <w:b/>
                <w:sz w:val="20"/>
                <w:szCs w:val="20"/>
              </w:rPr>
              <w:t xml:space="preserve">INFRACCIÓN </w:t>
            </w:r>
          </w:p>
        </w:tc>
        <w:tc>
          <w:tcPr>
            <w:tcW w:w="1225" w:type="dxa"/>
            <w:shd w:val="clear" w:color="auto" w:fill="F2F2F2" w:themeFill="background1" w:themeFillShade="F2"/>
          </w:tcPr>
          <w:p w:rsidR="00625F36" w:rsidRPr="00076E70" w:rsidRDefault="00625F36" w:rsidP="0016794A">
            <w:pPr>
              <w:jc w:val="center"/>
              <w:rPr>
                <w:rFonts w:ascii="Arial Narrow" w:hAnsi="Arial Narrow" w:cs="Arial"/>
                <w:b/>
                <w:sz w:val="20"/>
                <w:szCs w:val="20"/>
              </w:rPr>
            </w:pPr>
            <w:r w:rsidRPr="00076E70">
              <w:rPr>
                <w:rFonts w:ascii="Arial Narrow" w:hAnsi="Arial Narrow" w:cs="Arial"/>
                <w:b/>
                <w:sz w:val="20"/>
                <w:szCs w:val="20"/>
              </w:rPr>
              <w:t>SANCIÓN</w:t>
            </w:r>
          </w:p>
        </w:tc>
      </w:tr>
      <w:tr w:rsidR="00625F36" w:rsidRPr="00665C4E" w:rsidTr="00FF3CDF">
        <w:trPr>
          <w:trHeight w:val="902"/>
        </w:trPr>
        <w:tc>
          <w:tcPr>
            <w:tcW w:w="1009" w:type="dxa"/>
          </w:tcPr>
          <w:p w:rsidR="00625F36" w:rsidRPr="00665C4E" w:rsidRDefault="00625F36" w:rsidP="0016794A">
            <w:pPr>
              <w:jc w:val="center"/>
              <w:rPr>
                <w:rFonts w:ascii="Arial Narrow" w:hAnsi="Arial Narrow" w:cs="Arial"/>
                <w:sz w:val="20"/>
                <w:szCs w:val="20"/>
              </w:rPr>
            </w:pPr>
            <w:r w:rsidRPr="00665C4E">
              <w:rPr>
                <w:rFonts w:ascii="Arial Narrow" w:hAnsi="Arial Narrow" w:cs="Arial"/>
                <w:sz w:val="20"/>
                <w:szCs w:val="20"/>
              </w:rPr>
              <w:t>01</w:t>
            </w:r>
          </w:p>
        </w:tc>
        <w:tc>
          <w:tcPr>
            <w:tcW w:w="8752" w:type="dxa"/>
          </w:tcPr>
          <w:p w:rsidR="00625F36" w:rsidRPr="00665C4E" w:rsidRDefault="00625F36" w:rsidP="0016794A">
            <w:pPr>
              <w:pStyle w:val="Prrafodelista"/>
              <w:ind w:left="34"/>
              <w:jc w:val="both"/>
              <w:rPr>
                <w:rFonts w:cs="Arial"/>
                <w:sz w:val="20"/>
                <w:szCs w:val="20"/>
              </w:rPr>
            </w:pPr>
            <w:r>
              <w:rPr>
                <w:rFonts w:cs="Arial"/>
                <w:sz w:val="20"/>
                <w:szCs w:val="20"/>
              </w:rPr>
              <w:t xml:space="preserve">Transgredir el deber de </w:t>
            </w:r>
            <w:r w:rsidRPr="00522A9E">
              <w:rPr>
                <w:rFonts w:cs="Arial"/>
                <w:sz w:val="20"/>
                <w:szCs w:val="20"/>
              </w:rPr>
              <w:t xml:space="preserve">reserva establecido por el marco legal vigente, poniendo en conocimiento de </w:t>
            </w:r>
            <w:r w:rsidRPr="00D82A14">
              <w:rPr>
                <w:rFonts w:cs="Arial"/>
                <w:sz w:val="20"/>
                <w:szCs w:val="20"/>
              </w:rPr>
              <w:t>cualquier persona, entidad u organismo, bajo cualquier medio o modalidad</w:t>
            </w:r>
            <w:r w:rsidRPr="00665C4E">
              <w:rPr>
                <w:rFonts w:cs="Arial"/>
                <w:sz w:val="20"/>
                <w:szCs w:val="20"/>
              </w:rPr>
              <w:t>, el hecho de que alguna información ha</w:t>
            </w:r>
            <w:r>
              <w:rPr>
                <w:rFonts w:cs="Arial"/>
                <w:sz w:val="20"/>
                <w:szCs w:val="20"/>
              </w:rPr>
              <w:t>ya</w:t>
            </w:r>
            <w:r w:rsidRPr="00665C4E">
              <w:rPr>
                <w:rFonts w:cs="Arial"/>
                <w:sz w:val="20"/>
                <w:szCs w:val="20"/>
              </w:rPr>
              <w:t xml:space="preserve"> sido solicitada por la UIF-Perú o </w:t>
            </w:r>
            <w:r>
              <w:rPr>
                <w:rFonts w:cs="Arial"/>
                <w:sz w:val="20"/>
                <w:szCs w:val="20"/>
              </w:rPr>
              <w:t xml:space="preserve">haya sido </w:t>
            </w:r>
            <w:r w:rsidR="00DD6898" w:rsidRPr="00665C4E">
              <w:rPr>
                <w:rFonts w:cs="Arial"/>
                <w:sz w:val="20"/>
                <w:szCs w:val="20"/>
              </w:rPr>
              <w:t>proporcionado</w:t>
            </w:r>
            <w:r w:rsidRPr="00665C4E">
              <w:rPr>
                <w:rFonts w:cs="Arial"/>
                <w:sz w:val="20"/>
                <w:szCs w:val="20"/>
              </w:rPr>
              <w:t xml:space="preserve"> a </w:t>
            </w:r>
            <w:r>
              <w:rPr>
                <w:rFonts w:cs="Arial"/>
                <w:sz w:val="20"/>
                <w:szCs w:val="20"/>
              </w:rPr>
              <w:t>e</w:t>
            </w:r>
            <w:r w:rsidRPr="00665C4E">
              <w:rPr>
                <w:rFonts w:cs="Arial"/>
                <w:sz w:val="20"/>
                <w:szCs w:val="20"/>
              </w:rPr>
              <w:t>sta.</w:t>
            </w:r>
          </w:p>
        </w:tc>
        <w:tc>
          <w:tcPr>
            <w:tcW w:w="1225" w:type="dxa"/>
            <w:shd w:val="clear" w:color="auto" w:fill="auto"/>
          </w:tcPr>
          <w:p w:rsidR="00625F36" w:rsidRPr="00665C4E" w:rsidRDefault="00625F36" w:rsidP="00FF3CDF">
            <w:pPr>
              <w:tabs>
                <w:tab w:val="left" w:pos="-108"/>
                <w:tab w:val="center" w:pos="388"/>
              </w:tabs>
              <w:jc w:val="center"/>
              <w:rPr>
                <w:rFonts w:ascii="Arial Narrow" w:hAnsi="Arial Narrow" w:cs="Arial"/>
                <w:sz w:val="20"/>
                <w:szCs w:val="20"/>
              </w:rPr>
            </w:pPr>
            <w:r>
              <w:rPr>
                <w:rFonts w:ascii="Arial Narrow" w:hAnsi="Arial Narrow" w:cs="Arial"/>
                <w:sz w:val="20"/>
                <w:szCs w:val="20"/>
              </w:rPr>
              <w:t>Multa</w:t>
            </w:r>
            <w:r w:rsidR="00FF3CDF">
              <w:rPr>
                <w:rFonts w:ascii="Arial Narrow" w:hAnsi="Arial Narrow" w:cs="Arial"/>
                <w:sz w:val="20"/>
                <w:szCs w:val="20"/>
              </w:rPr>
              <w:t xml:space="preserve"> </w:t>
            </w:r>
            <w:r>
              <w:rPr>
                <w:rFonts w:ascii="Arial Narrow" w:hAnsi="Arial Narrow" w:cs="Arial"/>
                <w:sz w:val="20"/>
                <w:szCs w:val="20"/>
              </w:rPr>
              <w:t>3</w:t>
            </w:r>
            <w:r w:rsidRPr="00665C4E">
              <w:rPr>
                <w:rFonts w:ascii="Arial Narrow" w:hAnsi="Arial Narrow" w:cs="Arial"/>
                <w:sz w:val="20"/>
                <w:szCs w:val="20"/>
              </w:rPr>
              <w:t>0</w:t>
            </w:r>
            <w:r>
              <w:rPr>
                <w:rFonts w:ascii="Arial Narrow" w:hAnsi="Arial Narrow" w:cs="Arial"/>
                <w:sz w:val="20"/>
                <w:szCs w:val="20"/>
              </w:rPr>
              <w:t xml:space="preserve"> UIT</w:t>
            </w:r>
          </w:p>
          <w:p w:rsidR="00625F36" w:rsidRPr="00665C4E" w:rsidRDefault="00625F36" w:rsidP="0016794A">
            <w:pPr>
              <w:tabs>
                <w:tab w:val="left" w:pos="690"/>
              </w:tabs>
              <w:rPr>
                <w:rFonts w:ascii="Arial Narrow" w:hAnsi="Arial Narrow" w:cs="Arial"/>
                <w:sz w:val="20"/>
                <w:szCs w:val="20"/>
              </w:rPr>
            </w:pPr>
            <w:r w:rsidRPr="00665C4E">
              <w:rPr>
                <w:rFonts w:ascii="Arial Narrow" w:hAnsi="Arial Narrow" w:cs="Arial"/>
                <w:sz w:val="20"/>
                <w:szCs w:val="20"/>
              </w:rPr>
              <w:tab/>
            </w:r>
          </w:p>
        </w:tc>
      </w:tr>
    </w:tbl>
    <w:p w:rsidR="00625F36" w:rsidRPr="007A47FE" w:rsidRDefault="00625F36" w:rsidP="007B65F5">
      <w:pPr>
        <w:spacing w:after="0"/>
        <w:jc w:val="both"/>
        <w:rPr>
          <w:rFonts w:ascii="Arial" w:eastAsia="Times New Roman" w:hAnsi="Arial" w:cs="Arial"/>
          <w:bCs/>
          <w:color w:val="000000"/>
          <w:sz w:val="18"/>
          <w:szCs w:val="18"/>
          <w:lang w:eastAsia="es-PE"/>
        </w:rPr>
      </w:pPr>
    </w:p>
    <w:p w:rsidR="007A47FE" w:rsidRDefault="007A47FE"/>
    <w:sectPr w:rsidR="007A47FE" w:rsidSect="00175AE5">
      <w:headerReference w:type="default" r:id="rId9"/>
      <w:footerReference w:type="default" r:id="rId10"/>
      <w:pgSz w:w="12240" w:h="15840"/>
      <w:pgMar w:top="993" w:right="964" w:bottom="426"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EA8" w:rsidRDefault="00F02EA8" w:rsidP="00893659">
      <w:pPr>
        <w:spacing w:after="0" w:line="240" w:lineRule="auto"/>
      </w:pPr>
      <w:r>
        <w:separator/>
      </w:r>
    </w:p>
  </w:endnote>
  <w:endnote w:type="continuationSeparator" w:id="0">
    <w:p w:rsidR="00F02EA8" w:rsidRDefault="00F02EA8" w:rsidP="00893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659" w:rsidRDefault="00893659">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CALLE TUPAC AMARU 128 OF 401- MIRAFLORES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01332B" w:rsidRPr="0001332B">
      <w:rPr>
        <w:rFonts w:asciiTheme="majorHAnsi" w:eastAsiaTheme="majorEastAsia" w:hAnsiTheme="majorHAnsi" w:cstheme="majorBidi"/>
        <w:noProof/>
        <w:lang w:val="es-ES"/>
      </w:rPr>
      <w:t>6</w:t>
    </w:r>
    <w:r>
      <w:rPr>
        <w:rFonts w:asciiTheme="majorHAnsi" w:eastAsiaTheme="majorEastAsia" w:hAnsiTheme="majorHAnsi" w:cstheme="majorBidi"/>
      </w:rPr>
      <w:fldChar w:fldCharType="end"/>
    </w:r>
  </w:p>
  <w:p w:rsidR="00893659" w:rsidRDefault="00893659">
    <w:pPr>
      <w:pStyle w:val="Piedepgina"/>
    </w:pP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EA8" w:rsidRDefault="00F02EA8" w:rsidP="00893659">
      <w:pPr>
        <w:spacing w:after="0" w:line="240" w:lineRule="auto"/>
      </w:pPr>
      <w:r>
        <w:separator/>
      </w:r>
    </w:p>
  </w:footnote>
  <w:footnote w:type="continuationSeparator" w:id="0">
    <w:p w:rsidR="00F02EA8" w:rsidRDefault="00F02EA8" w:rsidP="00893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659" w:rsidRDefault="0001332B">
    <w:pPr>
      <w:pStyle w:val="Encabezado"/>
    </w:pPr>
    <w:r w:rsidRPr="00893659">
      <w:drawing>
        <wp:anchor distT="0" distB="0" distL="114300" distR="114300" simplePos="0" relativeHeight="251659264" behindDoc="0" locked="0" layoutInCell="1" allowOverlap="1" wp14:anchorId="57209587" wp14:editId="18153A9B">
          <wp:simplePos x="0" y="0"/>
          <wp:positionH relativeFrom="column">
            <wp:posOffset>650240</wp:posOffset>
          </wp:positionH>
          <wp:positionV relativeFrom="paragraph">
            <wp:posOffset>-262255</wp:posOffset>
          </wp:positionV>
          <wp:extent cx="1224915" cy="435610"/>
          <wp:effectExtent l="0" t="0" r="0" b="2540"/>
          <wp:wrapNone/>
          <wp:docPr id="9"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1224915" cy="435610"/>
                  </a:xfrm>
                  <a:prstGeom prst="rect">
                    <a:avLst/>
                  </a:prstGeom>
                  <a:noFill/>
                  <a:ln w="9525">
                    <a:noFill/>
                    <a:miter lim="800000"/>
                    <a:headEnd/>
                    <a:tailEnd/>
                  </a:ln>
                </pic:spPr>
              </pic:pic>
            </a:graphicData>
          </a:graphic>
        </wp:anchor>
      </w:drawing>
    </w:r>
    <w:r w:rsidRPr="00893659">
      <w:drawing>
        <wp:anchor distT="0" distB="0" distL="114300" distR="114300" simplePos="0" relativeHeight="251660288" behindDoc="0" locked="0" layoutInCell="1" allowOverlap="1" wp14:anchorId="2BA6819F" wp14:editId="2DC77001">
          <wp:simplePos x="0" y="0"/>
          <wp:positionH relativeFrom="column">
            <wp:posOffset>106045</wp:posOffset>
          </wp:positionH>
          <wp:positionV relativeFrom="paragraph">
            <wp:posOffset>-272415</wp:posOffset>
          </wp:positionV>
          <wp:extent cx="480060" cy="446405"/>
          <wp:effectExtent l="0" t="0" r="0" b="0"/>
          <wp:wrapNone/>
          <wp:docPr id="1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srcRect/>
                  <a:stretch>
                    <a:fillRect/>
                  </a:stretch>
                </pic:blipFill>
                <pic:spPr bwMode="auto">
                  <a:xfrm>
                    <a:off x="0" y="0"/>
                    <a:ext cx="480060" cy="44640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232F5"/>
    <w:multiLevelType w:val="hybridMultilevel"/>
    <w:tmpl w:val="4B0EC39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0D8A172D"/>
    <w:multiLevelType w:val="multilevel"/>
    <w:tmpl w:val="F8428A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2AF5D29"/>
    <w:multiLevelType w:val="multilevel"/>
    <w:tmpl w:val="F8428A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2BC372A"/>
    <w:multiLevelType w:val="hybridMultilevel"/>
    <w:tmpl w:val="A1245BE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4492CEE"/>
    <w:multiLevelType w:val="hybridMultilevel"/>
    <w:tmpl w:val="9D82E9EA"/>
    <w:lvl w:ilvl="0" w:tplc="6DB4F188">
      <w:start w:val="1"/>
      <w:numFmt w:val="decimal"/>
      <w:lvlText w:val="%1."/>
      <w:lvlJc w:val="left"/>
      <w:pPr>
        <w:ind w:left="644" w:hanging="360"/>
      </w:pPr>
      <w:rPr>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FE"/>
    <w:rsid w:val="0001332B"/>
    <w:rsid w:val="00175AE5"/>
    <w:rsid w:val="0027290D"/>
    <w:rsid w:val="0060331A"/>
    <w:rsid w:val="00625F36"/>
    <w:rsid w:val="006F10D2"/>
    <w:rsid w:val="007A47FE"/>
    <w:rsid w:val="007B65F5"/>
    <w:rsid w:val="00893659"/>
    <w:rsid w:val="00907761"/>
    <w:rsid w:val="009816DD"/>
    <w:rsid w:val="00D56BF6"/>
    <w:rsid w:val="00DD6898"/>
    <w:rsid w:val="00F02EA8"/>
    <w:rsid w:val="00FF3C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7FE"/>
    <w:pPr>
      <w:ind w:left="720"/>
      <w:contextualSpacing/>
    </w:pPr>
  </w:style>
  <w:style w:type="character" w:styleId="Refdecomentario">
    <w:name w:val="annotation reference"/>
    <w:uiPriority w:val="99"/>
    <w:rsid w:val="00625F36"/>
    <w:rPr>
      <w:sz w:val="16"/>
      <w:szCs w:val="16"/>
    </w:rPr>
  </w:style>
  <w:style w:type="paragraph" w:styleId="Encabezado">
    <w:name w:val="header"/>
    <w:basedOn w:val="Normal"/>
    <w:link w:val="EncabezadoCar"/>
    <w:uiPriority w:val="99"/>
    <w:unhideWhenUsed/>
    <w:rsid w:val="008936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3659"/>
  </w:style>
  <w:style w:type="paragraph" w:styleId="Piedepgina">
    <w:name w:val="footer"/>
    <w:basedOn w:val="Normal"/>
    <w:link w:val="PiedepginaCar"/>
    <w:uiPriority w:val="99"/>
    <w:unhideWhenUsed/>
    <w:rsid w:val="008936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3659"/>
  </w:style>
  <w:style w:type="paragraph" w:styleId="Textodeglobo">
    <w:name w:val="Balloon Text"/>
    <w:basedOn w:val="Normal"/>
    <w:link w:val="TextodegloboCar"/>
    <w:uiPriority w:val="99"/>
    <w:semiHidden/>
    <w:unhideWhenUsed/>
    <w:rsid w:val="00893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6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47FE"/>
    <w:pPr>
      <w:ind w:left="720"/>
      <w:contextualSpacing/>
    </w:pPr>
  </w:style>
  <w:style w:type="character" w:styleId="Refdecomentario">
    <w:name w:val="annotation reference"/>
    <w:uiPriority w:val="99"/>
    <w:rsid w:val="00625F36"/>
    <w:rPr>
      <w:sz w:val="16"/>
      <w:szCs w:val="16"/>
    </w:rPr>
  </w:style>
  <w:style w:type="paragraph" w:styleId="Encabezado">
    <w:name w:val="header"/>
    <w:basedOn w:val="Normal"/>
    <w:link w:val="EncabezadoCar"/>
    <w:uiPriority w:val="99"/>
    <w:unhideWhenUsed/>
    <w:rsid w:val="008936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3659"/>
  </w:style>
  <w:style w:type="paragraph" w:styleId="Piedepgina">
    <w:name w:val="footer"/>
    <w:basedOn w:val="Normal"/>
    <w:link w:val="PiedepginaCar"/>
    <w:uiPriority w:val="99"/>
    <w:unhideWhenUsed/>
    <w:rsid w:val="008936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3659"/>
  </w:style>
  <w:style w:type="paragraph" w:styleId="Textodeglobo">
    <w:name w:val="Balloon Text"/>
    <w:basedOn w:val="Normal"/>
    <w:link w:val="TextodegloboCar"/>
    <w:uiPriority w:val="99"/>
    <w:semiHidden/>
    <w:unhideWhenUsed/>
    <w:rsid w:val="00893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6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502672">
      <w:bodyDiv w:val="1"/>
      <w:marLeft w:val="0"/>
      <w:marRight w:val="0"/>
      <w:marTop w:val="0"/>
      <w:marBottom w:val="0"/>
      <w:divBdr>
        <w:top w:val="none" w:sz="0" w:space="0" w:color="auto"/>
        <w:left w:val="none" w:sz="0" w:space="0" w:color="auto"/>
        <w:bottom w:val="none" w:sz="0" w:space="0" w:color="auto"/>
        <w:right w:val="none" w:sz="0" w:space="0" w:color="auto"/>
      </w:divBdr>
      <w:divsChild>
        <w:div w:id="348526510">
          <w:marLeft w:val="0"/>
          <w:marRight w:val="0"/>
          <w:marTop w:val="0"/>
          <w:marBottom w:val="0"/>
          <w:divBdr>
            <w:top w:val="none" w:sz="0" w:space="0" w:color="auto"/>
            <w:left w:val="none" w:sz="0" w:space="0" w:color="auto"/>
            <w:bottom w:val="none" w:sz="0" w:space="0" w:color="auto"/>
            <w:right w:val="none" w:sz="0" w:space="0" w:color="auto"/>
          </w:divBdr>
          <w:divsChild>
            <w:div w:id="1991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E1356-1900-4F70-B34F-CAEBCBCB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3155</Words>
  <Characters>17357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Contabilidad1</dc:creator>
  <cp:lastModifiedBy>Contabilidad1</cp:lastModifiedBy>
  <cp:revision>4</cp:revision>
  <cp:lastPrinted>2013-10-23T17:36:00Z</cp:lastPrinted>
  <dcterms:created xsi:type="dcterms:W3CDTF">2013-10-23T15:27:00Z</dcterms:created>
  <dcterms:modified xsi:type="dcterms:W3CDTF">2013-10-23T17:36:00Z</dcterms:modified>
</cp:coreProperties>
</file>